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ind w:firstLine="880" w:firstLineChars="200"/>
        <w:rPr>
          <w:rFonts w:ascii="方正小标宋_GBK" w:hAnsi="Times New Roman" w:eastAsia="方正小标宋_GBK"/>
          <w:color w:val="auto"/>
          <w:sz w:val="44"/>
          <w:szCs w:val="44"/>
          <w:highlight w:val="none"/>
        </w:rPr>
      </w:pPr>
      <w:r>
        <w:rPr>
          <w:rFonts w:hint="eastAsia" w:ascii="方正小标宋_GBK" w:hAnsi="Times New Roman" w:eastAsia="方正小标宋_GBK"/>
          <w:color w:val="auto"/>
          <w:sz w:val="44"/>
          <w:szCs w:val="44"/>
          <w:highlight w:val="none"/>
        </w:rPr>
        <w:t>云南</w:t>
      </w:r>
      <w:r>
        <w:rPr>
          <w:rFonts w:ascii="方正小标宋_GBK" w:hAnsi="Times New Roman" w:eastAsia="方正小标宋_GBK"/>
          <w:color w:val="auto"/>
          <w:sz w:val="44"/>
          <w:szCs w:val="44"/>
          <w:highlight w:val="none"/>
        </w:rPr>
        <w:t>省水运工程</w:t>
      </w:r>
      <w:r>
        <w:rPr>
          <w:rFonts w:hint="eastAsia" w:ascii="方正小标宋_GBK" w:hAnsi="Times New Roman" w:eastAsia="方正小标宋_GBK"/>
          <w:color w:val="auto"/>
          <w:sz w:val="44"/>
          <w:szCs w:val="44"/>
          <w:highlight w:val="none"/>
        </w:rPr>
        <w:t>设计和</w:t>
      </w:r>
      <w:r>
        <w:rPr>
          <w:rFonts w:ascii="方正小标宋_GBK" w:hAnsi="Times New Roman" w:eastAsia="方正小标宋_GBK"/>
          <w:color w:val="auto"/>
          <w:sz w:val="44"/>
          <w:szCs w:val="44"/>
          <w:highlight w:val="none"/>
        </w:rPr>
        <w:t>施工企业</w:t>
      </w:r>
    </w:p>
    <w:p>
      <w:pPr>
        <w:widowControl/>
        <w:spacing w:line="720" w:lineRule="exact"/>
        <w:jc w:val="center"/>
        <w:rPr>
          <w:rFonts w:hint="eastAsia" w:ascii="宋体" w:hAnsi="宋体" w:eastAsia="方正楷体_GBK" w:cs="方正楷体_GBK"/>
          <w:color w:val="auto"/>
          <w:sz w:val="32"/>
          <w:szCs w:val="32"/>
          <w:highlight w:val="none"/>
        </w:rPr>
      </w:pPr>
      <w:r>
        <w:rPr>
          <w:rFonts w:ascii="方正小标宋_GBK" w:hAnsi="Times New Roman" w:eastAsia="方正小标宋_GBK"/>
          <w:color w:val="auto"/>
          <w:sz w:val="44"/>
          <w:szCs w:val="44"/>
          <w:highlight w:val="none"/>
        </w:rPr>
        <w:t>信用评价实施细则</w:t>
      </w:r>
      <w:r>
        <w:rPr>
          <w:rFonts w:hint="eastAsia" w:ascii="方正小标宋_GBK" w:hAnsi="Times New Roman" w:eastAsia="方正小标宋_GBK"/>
          <w:color w:val="auto"/>
          <w:sz w:val="44"/>
          <w:szCs w:val="44"/>
          <w:highlight w:val="none"/>
        </w:rPr>
        <w:t>（试行）</w:t>
      </w:r>
    </w:p>
    <w:p>
      <w:pPr>
        <w:widowControl/>
        <w:spacing w:line="560" w:lineRule="exact"/>
        <w:jc w:val="center"/>
        <w:rPr>
          <w:rFonts w:hint="eastAsia" w:ascii="方正楷体_GBK" w:hAnsi="方正楷体_GBK" w:eastAsia="方正楷体_GBK" w:cs="方正楷体_GBK"/>
          <w:bCs/>
          <w:snapToGrid w:val="0"/>
          <w:color w:val="auto"/>
          <w:sz w:val="32"/>
          <w:szCs w:val="32"/>
          <w:highlight w:val="none"/>
          <w:lang w:eastAsia="zh-CN"/>
        </w:rPr>
      </w:pPr>
      <w:r>
        <w:rPr>
          <w:rFonts w:hint="eastAsia" w:ascii="方正楷体_GBK" w:hAnsi="方正楷体_GBK" w:eastAsia="方正楷体_GBK" w:cs="方正楷体_GBK"/>
          <w:bCs/>
          <w:snapToGrid w:val="0"/>
          <w:color w:val="auto"/>
          <w:sz w:val="32"/>
          <w:szCs w:val="32"/>
          <w:highlight w:val="none"/>
          <w:lang w:eastAsia="zh-CN"/>
        </w:rPr>
        <w:t>（征求意见稿）</w:t>
      </w:r>
    </w:p>
    <w:p>
      <w:pPr>
        <w:widowControl/>
        <w:spacing w:line="560" w:lineRule="exact"/>
        <w:jc w:val="center"/>
        <w:rPr>
          <w:rFonts w:hint="eastAsia" w:ascii="宋体" w:hAnsi="宋体" w:eastAsia="方正仿宋_GBK"/>
          <w:color w:val="auto"/>
          <w:sz w:val="32"/>
          <w:szCs w:val="32"/>
          <w:highlight w:val="none"/>
        </w:rPr>
      </w:pPr>
      <w:r>
        <w:rPr>
          <w:rFonts w:eastAsia="黑体"/>
          <w:bCs/>
          <w:snapToGrid w:val="0"/>
          <w:color w:val="auto"/>
          <w:sz w:val="32"/>
          <w:szCs w:val="32"/>
          <w:highlight w:val="none"/>
        </w:rPr>
        <w:t>第一章  总</w:t>
      </w:r>
      <w:r>
        <w:rPr>
          <w:rFonts w:hint="eastAsia" w:eastAsia="黑体"/>
          <w:bCs/>
          <w:snapToGrid w:val="0"/>
          <w:color w:val="auto"/>
          <w:sz w:val="32"/>
          <w:szCs w:val="32"/>
          <w:highlight w:val="none"/>
          <w:lang w:val="en-US" w:eastAsia="zh-CN"/>
        </w:rPr>
        <w:t xml:space="preserve">   </w:t>
      </w:r>
      <w:r>
        <w:rPr>
          <w:rFonts w:eastAsia="黑体"/>
          <w:bCs/>
          <w:snapToGrid w:val="0"/>
          <w:color w:val="auto"/>
          <w:sz w:val="32"/>
          <w:szCs w:val="32"/>
          <w:highlight w:val="none"/>
        </w:rPr>
        <w:t>则</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lang w:val="en-US" w:eastAsia="zh-CN"/>
        </w:rPr>
        <w:t>为规范水运工程设计企业和施工企业信用评价工作，加强水运建设市场管理，维护公平有序的市场秩序，根据《水运建设市场监督管理办法》《交通运输部关于印发水运工程设计和施工企业信用评价办法的通知》《交通运输部关于加强交通运输行业信用体系建设的若干意见》</w:t>
      </w:r>
      <w:bookmarkStart w:id="0" w:name="OLE_LINK72"/>
      <w:r>
        <w:rPr>
          <w:rFonts w:hint="eastAsia" w:ascii="宋体" w:hAnsi="宋体" w:eastAsia="方正仿宋_GBK"/>
          <w:color w:val="auto"/>
          <w:sz w:val="32"/>
          <w:szCs w:val="32"/>
          <w:highlight w:val="none"/>
          <w:lang w:val="en-US" w:eastAsia="zh-CN"/>
        </w:rPr>
        <w:t>《云南省社会信用条例》</w:t>
      </w:r>
      <w:bookmarkStart w:id="1" w:name="OLE_LINK74"/>
      <w:r>
        <w:rPr>
          <w:rFonts w:hint="eastAsia" w:ascii="宋体" w:hAnsi="宋体" w:eastAsia="方正仿宋_GBK"/>
          <w:color w:val="auto"/>
          <w:sz w:val="32"/>
          <w:szCs w:val="32"/>
          <w:highlight w:val="none"/>
          <w:lang w:val="en-US" w:eastAsia="zh-CN"/>
        </w:rPr>
        <w:t>《云南省交通运输行业信用管理办法（试行）》</w:t>
      </w:r>
      <w:bookmarkEnd w:id="0"/>
      <w:bookmarkEnd w:id="1"/>
      <w:r>
        <w:rPr>
          <w:rFonts w:hint="eastAsia" w:ascii="宋体" w:hAnsi="宋体" w:eastAsia="方正仿宋_GBK"/>
          <w:color w:val="auto"/>
          <w:sz w:val="32"/>
          <w:szCs w:val="32"/>
          <w:highlight w:val="none"/>
          <w:lang w:val="en-US" w:eastAsia="zh-CN"/>
        </w:rPr>
        <w:t>等有关规定，结合云南省实际，制定本细则。</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本细则所称</w:t>
      </w:r>
      <w:bookmarkStart w:id="2" w:name="OLE_LINK73"/>
      <w:r>
        <w:rPr>
          <w:rFonts w:hint="eastAsia" w:ascii="宋体" w:hAnsi="宋体" w:eastAsia="方正仿宋_GBK"/>
          <w:color w:val="auto"/>
          <w:sz w:val="32"/>
          <w:szCs w:val="32"/>
          <w:highlight w:val="none"/>
          <w:lang w:val="en-US" w:eastAsia="zh-CN"/>
        </w:rPr>
        <w:t>水运工程设计和施工企业</w:t>
      </w:r>
      <w:bookmarkEnd w:id="2"/>
      <w:r>
        <w:rPr>
          <w:rFonts w:ascii="宋体" w:hAnsi="宋体" w:eastAsia="方正仿宋_GBK"/>
          <w:color w:val="auto"/>
          <w:sz w:val="32"/>
          <w:szCs w:val="32"/>
          <w:highlight w:val="none"/>
        </w:rPr>
        <w:t>信用评价是指</w:t>
      </w:r>
      <w:r>
        <w:rPr>
          <w:rFonts w:hint="eastAsia" w:ascii="宋体" w:hAnsi="宋体" w:eastAsia="方正仿宋_GBK"/>
          <w:color w:val="auto"/>
          <w:sz w:val="32"/>
          <w:szCs w:val="32"/>
          <w:highlight w:val="none"/>
        </w:rPr>
        <w:t>云南省各级</w:t>
      </w:r>
      <w:r>
        <w:rPr>
          <w:rFonts w:ascii="宋体" w:hAnsi="宋体" w:eastAsia="方正仿宋_GBK"/>
          <w:color w:val="auto"/>
          <w:sz w:val="32"/>
          <w:szCs w:val="32"/>
          <w:highlight w:val="none"/>
        </w:rPr>
        <w:t>交通运输部门</w:t>
      </w:r>
      <w:r>
        <w:rPr>
          <w:rFonts w:hint="eastAsia" w:ascii="宋体" w:hAnsi="宋体" w:eastAsia="方正仿宋_GBK"/>
          <w:color w:val="auto"/>
          <w:sz w:val="32"/>
          <w:szCs w:val="32"/>
          <w:highlight w:val="none"/>
        </w:rPr>
        <w:t>、招标人、建设单位，</w:t>
      </w:r>
      <w:r>
        <w:rPr>
          <w:rFonts w:ascii="宋体" w:hAnsi="宋体" w:eastAsia="方正仿宋_GBK"/>
          <w:color w:val="auto"/>
          <w:sz w:val="32"/>
          <w:szCs w:val="32"/>
          <w:highlight w:val="none"/>
        </w:rPr>
        <w:t>依据有关法律法规、标准规范、合同文件等，</w:t>
      </w:r>
      <w:r>
        <w:rPr>
          <w:rFonts w:hint="eastAsia" w:ascii="宋体" w:hAnsi="宋体" w:eastAsia="方正仿宋_GBK"/>
          <w:color w:val="auto"/>
          <w:sz w:val="32"/>
          <w:szCs w:val="32"/>
          <w:highlight w:val="none"/>
        </w:rPr>
        <w:t>按职责</w:t>
      </w:r>
      <w:r>
        <w:rPr>
          <w:rFonts w:ascii="宋体" w:hAnsi="宋体" w:eastAsia="方正仿宋_GBK"/>
          <w:color w:val="auto"/>
          <w:sz w:val="32"/>
          <w:szCs w:val="32"/>
          <w:highlight w:val="none"/>
        </w:rPr>
        <w:t>对水运建设市场中</w:t>
      </w:r>
      <w:r>
        <w:rPr>
          <w:rFonts w:hint="eastAsia" w:ascii="宋体" w:hAnsi="宋体" w:eastAsia="方正仿宋_GBK"/>
          <w:color w:val="auto"/>
          <w:sz w:val="32"/>
          <w:szCs w:val="32"/>
          <w:highlight w:val="none"/>
        </w:rPr>
        <w:t>水运工程设计和施工企业的</w:t>
      </w:r>
      <w:r>
        <w:rPr>
          <w:rFonts w:ascii="宋体" w:hAnsi="宋体" w:eastAsia="方正仿宋_GBK"/>
          <w:color w:val="auto"/>
          <w:sz w:val="32"/>
          <w:szCs w:val="32"/>
          <w:highlight w:val="none"/>
        </w:rPr>
        <w:t>从业行为进行的信用评价，评价工作在</w:t>
      </w:r>
      <w:bookmarkStart w:id="3" w:name="OLE_LINK70"/>
      <w:r>
        <w:rPr>
          <w:rFonts w:hint="eastAsia" w:ascii="宋体" w:hAnsi="宋体" w:eastAsia="方正仿宋_GBK"/>
          <w:color w:val="auto"/>
          <w:sz w:val="32"/>
          <w:szCs w:val="32"/>
          <w:highlight w:val="none"/>
          <w:lang w:val="en-US" w:eastAsia="zh-CN"/>
        </w:rPr>
        <w:t>云南省公路水路建设与运输市场信用信息服务系统</w:t>
      </w:r>
      <w:bookmarkEnd w:id="3"/>
      <w:r>
        <w:rPr>
          <w:rFonts w:hint="eastAsia" w:ascii="宋体" w:hAnsi="宋体" w:eastAsia="方正仿宋_GBK"/>
          <w:color w:val="auto"/>
          <w:sz w:val="32"/>
          <w:szCs w:val="32"/>
          <w:highlight w:val="none"/>
          <w:lang w:val="en-US" w:eastAsia="zh-CN"/>
        </w:rPr>
        <w:t>（以下简称信用系统）</w:t>
      </w:r>
      <w:r>
        <w:rPr>
          <w:rFonts w:ascii="宋体" w:hAnsi="宋体" w:eastAsia="方正仿宋_GBK"/>
          <w:color w:val="auto"/>
          <w:sz w:val="32"/>
          <w:szCs w:val="32"/>
          <w:highlight w:val="none"/>
        </w:rPr>
        <w:t>上进行。</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本细则所称水运工程设计企业是指具有水运行业设计资质及参与水运工程设计活动并具有工程设计综合资质的企业，水运工程施工企业是指具有港口与航道工程施工总承包资质及相关专业承包资质的企业。</w:t>
      </w:r>
    </w:p>
    <w:p>
      <w:pPr>
        <w:widowControl/>
        <w:numPr>
          <w:ilvl w:val="255"/>
          <w:numId w:val="0"/>
        </w:numPr>
        <w:spacing w:line="560" w:lineRule="exact"/>
        <w:ind w:firstLine="640" w:firstLineChars="200"/>
        <w:rPr>
          <w:rFonts w:ascii="宋体" w:hAnsi="宋体" w:eastAsia="方正仿宋_GBK"/>
          <w:color w:val="auto"/>
          <w:sz w:val="32"/>
          <w:szCs w:val="32"/>
          <w:highlight w:val="none"/>
        </w:rPr>
      </w:pPr>
      <w:r>
        <w:rPr>
          <w:rFonts w:ascii="宋体" w:hAnsi="宋体" w:eastAsia="方正仿宋_GBK"/>
          <w:color w:val="auto"/>
          <w:sz w:val="32"/>
          <w:szCs w:val="32"/>
          <w:highlight w:val="none"/>
        </w:rPr>
        <w:t>从业行为是指企业参与</w:t>
      </w:r>
      <w:r>
        <w:rPr>
          <w:rFonts w:hint="eastAsia" w:ascii="宋体" w:hAnsi="宋体" w:eastAsia="方正仿宋_GBK"/>
          <w:color w:val="auto"/>
          <w:sz w:val="32"/>
          <w:szCs w:val="32"/>
          <w:highlight w:val="none"/>
        </w:rPr>
        <w:t>依法招标</w:t>
      </w:r>
      <w:r>
        <w:rPr>
          <w:rFonts w:ascii="宋体" w:hAnsi="宋体" w:eastAsia="方正仿宋_GBK"/>
          <w:color w:val="auto"/>
          <w:sz w:val="32"/>
          <w:szCs w:val="32"/>
          <w:highlight w:val="none"/>
        </w:rPr>
        <w:t>水运工程建设项目的投标、履约等市场行为。</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水运工程设计和施工企业信用评价应遵循公开、公平、公正、科学、有效的原则</w:t>
      </w:r>
      <w:r>
        <w:rPr>
          <w:rFonts w:hint="eastAsia" w:ascii="宋体" w:hAnsi="宋体" w:eastAsia="方正仿宋_GBK"/>
          <w:color w:val="auto"/>
          <w:sz w:val="32"/>
          <w:szCs w:val="32"/>
          <w:highlight w:val="none"/>
        </w:rPr>
        <w:t>。</w:t>
      </w:r>
    </w:p>
    <w:p>
      <w:pPr>
        <w:pStyle w:val="2"/>
        <w:rPr>
          <w:rFonts w:hint="default" w:eastAsia="方正楷体_GBK" w:cs="方正楷体_GBK"/>
          <w:b w:val="0"/>
          <w:bCs w:val="0"/>
          <w:color w:val="000000"/>
          <w:sz w:val="28"/>
          <w:szCs w:val="28"/>
          <w:highlight w:val="none"/>
          <w:lang w:val="en-US" w:eastAsia="zh-CN"/>
        </w:rPr>
      </w:pPr>
      <w:bookmarkStart w:id="4" w:name="OLE_LINK12"/>
    </w:p>
    <w:bookmarkEnd w:id="4"/>
    <w:p>
      <w:pPr>
        <w:widowControl/>
        <w:spacing w:line="560" w:lineRule="exact"/>
        <w:jc w:val="center"/>
        <w:rPr>
          <w:rFonts w:eastAsia="黑体"/>
          <w:bCs/>
          <w:snapToGrid w:val="0"/>
          <w:color w:val="auto"/>
          <w:sz w:val="32"/>
          <w:szCs w:val="32"/>
          <w:highlight w:val="none"/>
        </w:rPr>
      </w:pPr>
      <w:r>
        <w:rPr>
          <w:rFonts w:eastAsia="黑体"/>
          <w:bCs/>
          <w:snapToGrid w:val="0"/>
          <w:color w:val="auto"/>
          <w:sz w:val="32"/>
          <w:szCs w:val="32"/>
          <w:highlight w:val="none"/>
        </w:rPr>
        <w:t>第二章  评价职责及分工</w:t>
      </w:r>
    </w:p>
    <w:p>
      <w:pPr>
        <w:pStyle w:val="2"/>
        <w:rPr>
          <w:rFonts w:hint="eastAsia"/>
          <w:highlight w:val="none"/>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水运工程设计和施工企业信用评价工作实行统一管理、分级负责。</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省交通运输厅负责云南省水运工程设计和施工企业信用评价监督管理工作。主要职责是：</w:t>
      </w:r>
    </w:p>
    <w:p>
      <w:pPr>
        <w:widowControl/>
        <w:numPr>
          <w:ilvl w:val="0"/>
          <w:numId w:val="2"/>
        </w:numPr>
        <w:spacing w:line="560" w:lineRule="exact"/>
        <w:ind w:firstLine="640" w:firstLineChars="200"/>
        <w:rPr>
          <w:rFonts w:ascii="宋体" w:hAnsi="宋体" w:eastAsia="方正仿宋_GBK"/>
          <w:color w:val="auto"/>
          <w:sz w:val="32"/>
          <w:szCs w:val="32"/>
          <w:highlight w:val="none"/>
        </w:rPr>
      </w:pPr>
      <w:r>
        <w:rPr>
          <w:rFonts w:ascii="宋体" w:hAnsi="宋体" w:eastAsia="方正仿宋_GBK"/>
          <w:color w:val="auto"/>
          <w:sz w:val="32"/>
          <w:szCs w:val="32"/>
          <w:highlight w:val="none"/>
        </w:rPr>
        <w:t>组织和监督云南省水运工程建设项目设计企业和施工企业信用评价工作；</w:t>
      </w:r>
    </w:p>
    <w:p>
      <w:pPr>
        <w:widowControl/>
        <w:numPr>
          <w:ilvl w:val="0"/>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（二）组织省级</w:t>
      </w:r>
      <w:r>
        <w:rPr>
          <w:rFonts w:hint="eastAsia" w:ascii="宋体" w:hAnsi="宋体" w:eastAsia="方正仿宋_GBK"/>
          <w:color w:val="auto"/>
          <w:sz w:val="32"/>
          <w:szCs w:val="32"/>
          <w:highlight w:val="none"/>
        </w:rPr>
        <w:t>综合</w:t>
      </w:r>
      <w:r>
        <w:rPr>
          <w:rFonts w:ascii="宋体" w:hAnsi="宋体" w:eastAsia="方正仿宋_GBK"/>
          <w:color w:val="auto"/>
          <w:sz w:val="32"/>
          <w:szCs w:val="32"/>
          <w:highlight w:val="none"/>
        </w:rPr>
        <w:t>信用评价，发布信用评价结果等信息</w:t>
      </w:r>
      <w:r>
        <w:rPr>
          <w:rFonts w:hint="eastAsia" w:ascii="宋体" w:hAnsi="宋体" w:eastAsia="方正仿宋_GBK"/>
          <w:color w:val="auto"/>
          <w:sz w:val="32"/>
          <w:szCs w:val="32"/>
          <w:highlight w:val="none"/>
        </w:rPr>
        <w:t>，</w:t>
      </w:r>
      <w:r>
        <w:rPr>
          <w:rFonts w:ascii="宋体" w:hAnsi="宋体" w:eastAsia="方正仿宋_GBK"/>
          <w:color w:val="auto"/>
          <w:sz w:val="32"/>
          <w:szCs w:val="32"/>
          <w:highlight w:val="none"/>
        </w:rPr>
        <w:t>并</w:t>
      </w:r>
      <w:r>
        <w:rPr>
          <w:rFonts w:hint="eastAsia" w:ascii="宋体" w:hAnsi="宋体" w:eastAsia="方正仿宋_GBK"/>
          <w:color w:val="auto"/>
          <w:sz w:val="32"/>
          <w:szCs w:val="32"/>
          <w:highlight w:val="none"/>
        </w:rPr>
        <w:t>按要求将</w:t>
      </w:r>
      <w:r>
        <w:rPr>
          <w:rFonts w:ascii="宋体" w:hAnsi="宋体" w:eastAsia="方正仿宋_GBK"/>
          <w:color w:val="auto"/>
          <w:sz w:val="32"/>
          <w:szCs w:val="32"/>
          <w:highlight w:val="none"/>
        </w:rPr>
        <w:t>评价结果上报交通运输部</w:t>
      </w:r>
      <w:r>
        <w:rPr>
          <w:rFonts w:hint="eastAsia" w:ascii="宋体" w:hAnsi="宋体" w:eastAsia="方正仿宋_GBK"/>
          <w:color w:val="auto"/>
          <w:sz w:val="32"/>
          <w:szCs w:val="32"/>
          <w:highlight w:val="none"/>
        </w:rPr>
        <w:t>。</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lang w:eastAsia="zh-CN"/>
        </w:rPr>
        <w:t>省航务管理局</w:t>
      </w:r>
      <w:r>
        <w:rPr>
          <w:rFonts w:hint="eastAsia" w:ascii="宋体" w:hAnsi="宋体" w:eastAsia="方正仿宋_GBK"/>
          <w:color w:val="auto"/>
          <w:sz w:val="32"/>
          <w:szCs w:val="32"/>
          <w:highlight w:val="none"/>
        </w:rPr>
        <w:t>具体实施全</w:t>
      </w:r>
      <w:r>
        <w:rPr>
          <w:rFonts w:ascii="宋体" w:hAnsi="宋体" w:eastAsia="方正仿宋_GBK"/>
          <w:color w:val="auto"/>
          <w:sz w:val="32"/>
          <w:szCs w:val="32"/>
          <w:highlight w:val="none"/>
        </w:rPr>
        <w:t>省水运工程设计企业和施工企业信用评价。主要职责是：</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lang w:val="en-US" w:eastAsia="zh-CN"/>
        </w:rPr>
        <w:t>一）</w:t>
      </w:r>
      <w:r>
        <w:rPr>
          <w:rFonts w:ascii="宋体" w:hAnsi="宋体" w:eastAsia="方正仿宋_GBK"/>
          <w:color w:val="auto"/>
          <w:sz w:val="32"/>
          <w:szCs w:val="32"/>
          <w:highlight w:val="none"/>
        </w:rPr>
        <w:t>负责指导</w:t>
      </w:r>
      <w:r>
        <w:rPr>
          <w:rFonts w:hint="eastAsia" w:ascii="宋体" w:hAnsi="宋体" w:eastAsia="方正仿宋_GBK"/>
          <w:color w:val="auto"/>
          <w:sz w:val="32"/>
          <w:szCs w:val="32"/>
          <w:highlight w:val="none"/>
        </w:rPr>
        <w:t>和督促全省水运</w:t>
      </w:r>
      <w:r>
        <w:rPr>
          <w:rFonts w:ascii="宋体" w:hAnsi="宋体" w:eastAsia="方正仿宋_GBK"/>
          <w:color w:val="auto"/>
          <w:sz w:val="32"/>
          <w:szCs w:val="32"/>
          <w:highlight w:val="none"/>
        </w:rPr>
        <w:t>设计和施工企业信用评价；</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（二）对全省水运工程建设项目的水运设计企业和施工企业投标行为和履约行为的评价结果进行汇总</w:t>
      </w:r>
      <w:r>
        <w:rPr>
          <w:rFonts w:hint="eastAsia" w:ascii="宋体" w:hAnsi="宋体" w:eastAsia="方正仿宋_GBK"/>
          <w:color w:val="auto"/>
          <w:sz w:val="32"/>
          <w:szCs w:val="32"/>
          <w:highlight w:val="none"/>
        </w:rPr>
        <w:t>复</w:t>
      </w:r>
      <w:r>
        <w:rPr>
          <w:rFonts w:ascii="宋体" w:hAnsi="宋体" w:eastAsia="方正仿宋_GBK"/>
          <w:color w:val="auto"/>
          <w:sz w:val="32"/>
          <w:szCs w:val="32"/>
          <w:highlight w:val="none"/>
        </w:rPr>
        <w:t>核，并将</w:t>
      </w:r>
      <w:r>
        <w:rPr>
          <w:rFonts w:hint="eastAsia" w:ascii="宋体" w:hAnsi="宋体" w:eastAsia="方正仿宋_GBK"/>
          <w:color w:val="auto"/>
          <w:sz w:val="32"/>
          <w:szCs w:val="32"/>
          <w:highlight w:val="none"/>
        </w:rPr>
        <w:t>复</w:t>
      </w:r>
      <w:r>
        <w:rPr>
          <w:rFonts w:ascii="宋体" w:hAnsi="宋体" w:eastAsia="方正仿宋_GBK"/>
          <w:color w:val="auto"/>
          <w:sz w:val="32"/>
          <w:szCs w:val="32"/>
          <w:highlight w:val="none"/>
        </w:rPr>
        <w:t>核结果报省交通运输厅</w:t>
      </w:r>
      <w:r>
        <w:rPr>
          <w:rFonts w:hint="eastAsia" w:ascii="宋体" w:hAnsi="宋体" w:eastAsia="方正仿宋_GBK"/>
          <w:color w:val="auto"/>
          <w:sz w:val="32"/>
          <w:szCs w:val="32"/>
          <w:highlight w:val="none"/>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（三）对其他信用行为进行评价；</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（四）处理有关申诉或举报事项。</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bookmarkStart w:id="5" w:name="OLE_LINK40"/>
      <w:r>
        <w:rPr>
          <w:rFonts w:hint="eastAsia" w:ascii="宋体" w:hAnsi="宋体" w:eastAsia="方正仿宋_GBK"/>
          <w:color w:val="auto"/>
          <w:sz w:val="32"/>
          <w:szCs w:val="32"/>
          <w:highlight w:val="none"/>
        </w:rPr>
        <w:t>省</w:t>
      </w:r>
      <w:r>
        <w:rPr>
          <w:rFonts w:hint="eastAsia" w:ascii="宋体" w:hAnsi="宋体" w:eastAsia="方正仿宋_GBK"/>
          <w:color w:val="auto"/>
          <w:sz w:val="32"/>
          <w:szCs w:val="32"/>
          <w:highlight w:val="none"/>
          <w:lang w:eastAsia="zh-CN"/>
        </w:rPr>
        <w:t>综合</w:t>
      </w:r>
      <w:r>
        <w:rPr>
          <w:rFonts w:hint="eastAsia" w:ascii="宋体" w:hAnsi="宋体" w:eastAsia="方正仿宋_GBK"/>
          <w:color w:val="auto"/>
          <w:sz w:val="32"/>
          <w:szCs w:val="32"/>
          <w:highlight w:val="none"/>
        </w:rPr>
        <w:t>交通发展中心</w:t>
      </w:r>
      <w:bookmarkEnd w:id="5"/>
      <w:r>
        <w:rPr>
          <w:rFonts w:hint="eastAsia" w:ascii="宋体" w:hAnsi="宋体" w:eastAsia="方正仿宋_GBK"/>
          <w:color w:val="auto"/>
          <w:sz w:val="32"/>
          <w:szCs w:val="32"/>
          <w:highlight w:val="none"/>
        </w:rPr>
        <w:t>的主要职责是：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color w:val="auto"/>
          <w:spacing w:val="0"/>
          <w:kern w:val="0"/>
          <w:sz w:val="32"/>
          <w:szCs w:val="32"/>
          <w:highlight w:val="none"/>
          <w:lang w:val="en-US" w:eastAsia="zh-CN" w:bidi="ar"/>
        </w:rPr>
        <w:t>开发和建设信用系统，负责系统日常维护，提供</w:t>
      </w:r>
      <w:r>
        <w:rPr>
          <w:rFonts w:ascii="宋体" w:hAnsi="宋体" w:eastAsia="方正仿宋_GBK"/>
          <w:color w:val="auto"/>
          <w:sz w:val="32"/>
          <w:szCs w:val="32"/>
          <w:highlight w:val="none"/>
        </w:rPr>
        <w:t>水运设计企业和施工企业</w:t>
      </w:r>
      <w:r>
        <w:rPr>
          <w:rFonts w:hint="eastAsia" w:ascii="方正仿宋_GBK" w:hAnsi="方正仿宋_GBK" w:eastAsia="方正仿宋_GBK" w:cs="方正仿宋_GBK"/>
          <w:i w:val="0"/>
          <w:iCs w:val="0"/>
          <w:caps w:val="0"/>
          <w:color w:val="auto"/>
          <w:spacing w:val="0"/>
          <w:kern w:val="0"/>
          <w:sz w:val="32"/>
          <w:szCs w:val="32"/>
          <w:highlight w:val="none"/>
          <w:lang w:val="en-US" w:eastAsia="zh-CN" w:bidi="ar"/>
        </w:rPr>
        <w:t>信用数据归集、共享等技术支持工作，保障评价工作顺利实施。</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bookmarkStart w:id="6" w:name="OLE_LINK1"/>
      <w:r>
        <w:rPr>
          <w:rFonts w:hint="eastAsia" w:ascii="宋体" w:hAnsi="宋体" w:eastAsia="方正仿宋_GBK"/>
          <w:color w:val="auto"/>
          <w:sz w:val="32"/>
          <w:szCs w:val="32"/>
          <w:highlight w:val="none"/>
        </w:rPr>
        <w:t>省交通</w:t>
      </w:r>
      <w:r>
        <w:rPr>
          <w:rFonts w:hint="eastAsia" w:ascii="宋体" w:hAnsi="宋体" w:eastAsia="方正仿宋_GBK"/>
          <w:color w:val="auto"/>
          <w:sz w:val="32"/>
          <w:szCs w:val="32"/>
          <w:highlight w:val="none"/>
          <w:lang w:eastAsia="zh-CN"/>
        </w:rPr>
        <w:t>运输综合行政</w:t>
      </w:r>
      <w:r>
        <w:rPr>
          <w:rFonts w:hint="eastAsia" w:ascii="宋体" w:hAnsi="宋体" w:eastAsia="方正仿宋_GBK"/>
          <w:color w:val="auto"/>
          <w:sz w:val="32"/>
          <w:szCs w:val="32"/>
          <w:highlight w:val="none"/>
        </w:rPr>
        <w:t>执法局</w:t>
      </w:r>
      <w:bookmarkEnd w:id="6"/>
      <w:r>
        <w:rPr>
          <w:rFonts w:hint="eastAsia" w:ascii="宋体" w:hAnsi="宋体" w:eastAsia="方正仿宋_GBK"/>
          <w:color w:val="auto"/>
          <w:sz w:val="32"/>
          <w:szCs w:val="32"/>
          <w:highlight w:val="none"/>
        </w:rPr>
        <w:t>主要职责是：</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开展</w:t>
      </w:r>
      <w:r>
        <w:rPr>
          <w:rFonts w:hint="eastAsia" w:ascii="宋体" w:hAnsi="宋体" w:eastAsia="方正仿宋_GBK"/>
          <w:color w:val="auto"/>
          <w:sz w:val="32"/>
          <w:szCs w:val="32"/>
          <w:highlight w:val="none"/>
          <w:lang w:eastAsia="zh-CN"/>
        </w:rPr>
        <w:t>省交通运输厅委托监管的</w:t>
      </w:r>
      <w:r>
        <w:rPr>
          <w:rFonts w:hint="eastAsia" w:ascii="宋体" w:hAnsi="宋体" w:eastAsia="方正仿宋_GBK"/>
          <w:color w:val="auto"/>
          <w:sz w:val="32"/>
          <w:szCs w:val="32"/>
          <w:highlight w:val="none"/>
        </w:rPr>
        <w:t>水运</w:t>
      </w:r>
      <w:r>
        <w:rPr>
          <w:rFonts w:ascii="宋体" w:hAnsi="宋体" w:eastAsia="方正仿宋_GBK"/>
          <w:color w:val="auto"/>
          <w:sz w:val="32"/>
          <w:szCs w:val="32"/>
          <w:highlight w:val="none"/>
        </w:rPr>
        <w:t>建设项目质量监督</w:t>
      </w:r>
      <w:r>
        <w:rPr>
          <w:rFonts w:hint="eastAsia" w:ascii="宋体" w:hAnsi="宋体" w:eastAsia="方正仿宋_GBK"/>
          <w:color w:val="auto"/>
          <w:sz w:val="32"/>
          <w:szCs w:val="32"/>
          <w:highlight w:val="none"/>
        </w:rPr>
        <w:t>检查</w:t>
      </w: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lang w:eastAsia="zh-CN"/>
        </w:rPr>
        <w:t>将监督检查结果</w:t>
      </w:r>
      <w:r>
        <w:rPr>
          <w:rFonts w:ascii="宋体" w:hAnsi="宋体" w:eastAsia="方正仿宋_GBK"/>
          <w:color w:val="auto"/>
          <w:sz w:val="32"/>
          <w:szCs w:val="32"/>
          <w:highlight w:val="none"/>
        </w:rPr>
        <w:t>报省</w:t>
      </w:r>
      <w:r>
        <w:rPr>
          <w:rFonts w:hint="eastAsia" w:ascii="宋体" w:hAnsi="宋体" w:eastAsia="方正仿宋_GBK"/>
          <w:color w:val="auto"/>
          <w:sz w:val="32"/>
          <w:szCs w:val="32"/>
          <w:highlight w:val="none"/>
        </w:rPr>
        <w:t>交通运输厅，抄送</w:t>
      </w:r>
      <w:r>
        <w:rPr>
          <w:rFonts w:hint="eastAsia" w:ascii="宋体" w:hAnsi="宋体" w:eastAsia="方正仿宋_GBK"/>
          <w:color w:val="auto"/>
          <w:sz w:val="32"/>
          <w:szCs w:val="32"/>
          <w:highlight w:val="none"/>
          <w:lang w:eastAsia="zh-CN"/>
        </w:rPr>
        <w:t>省航务管理局</w:t>
      </w:r>
      <w:r>
        <w:rPr>
          <w:rFonts w:ascii="宋体" w:hAnsi="宋体" w:eastAsia="方正仿宋_GBK"/>
          <w:color w:val="auto"/>
          <w:sz w:val="32"/>
          <w:szCs w:val="32"/>
          <w:highlight w:val="none"/>
        </w:rPr>
        <w:t>。</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lang w:val="en-US" w:eastAsia="zh-CN"/>
        </w:rPr>
        <w:t>州（市）、县（市、区）</w:t>
      </w:r>
      <w:r>
        <w:rPr>
          <w:rFonts w:hint="eastAsia" w:ascii="宋体" w:hAnsi="宋体" w:eastAsia="方正仿宋_GBK"/>
          <w:color w:val="auto"/>
          <w:sz w:val="32"/>
          <w:szCs w:val="32"/>
          <w:highlight w:val="none"/>
        </w:rPr>
        <w:t>交</w:t>
      </w:r>
      <w:r>
        <w:rPr>
          <w:rFonts w:ascii="宋体" w:hAnsi="宋体" w:eastAsia="方正仿宋_GBK"/>
          <w:color w:val="auto"/>
          <w:sz w:val="32"/>
          <w:szCs w:val="32"/>
          <w:highlight w:val="none"/>
        </w:rPr>
        <w:t>通运输</w:t>
      </w:r>
      <w:r>
        <w:rPr>
          <w:rFonts w:hint="eastAsia" w:ascii="宋体" w:hAnsi="宋体" w:eastAsia="方正仿宋_GBK"/>
          <w:color w:val="auto"/>
          <w:sz w:val="32"/>
          <w:szCs w:val="32"/>
          <w:highlight w:val="none"/>
          <w:lang w:eastAsia="zh-CN"/>
        </w:rPr>
        <w:t>局</w:t>
      </w:r>
      <w:r>
        <w:rPr>
          <w:rFonts w:ascii="宋体" w:hAnsi="宋体" w:eastAsia="方正仿宋_GBK"/>
          <w:color w:val="auto"/>
          <w:sz w:val="32"/>
          <w:szCs w:val="32"/>
          <w:highlight w:val="none"/>
        </w:rPr>
        <w:t>主要职责是：</w:t>
      </w:r>
    </w:p>
    <w:p>
      <w:pPr>
        <w:widowControl/>
        <w:numPr>
          <w:ilvl w:val="0"/>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s="Times New Roman"/>
          <w:color w:val="auto"/>
          <w:kern w:val="2"/>
          <w:sz w:val="32"/>
          <w:szCs w:val="32"/>
          <w:highlight w:val="none"/>
          <w:lang w:val="en-US" w:eastAsia="zh-CN" w:bidi="ar-SA"/>
        </w:rPr>
        <w:t>（一）</w:t>
      </w:r>
      <w:r>
        <w:rPr>
          <w:rFonts w:ascii="宋体" w:hAnsi="宋体" w:eastAsia="方正仿宋_GBK"/>
          <w:color w:val="auto"/>
          <w:sz w:val="32"/>
          <w:szCs w:val="32"/>
          <w:highlight w:val="none"/>
        </w:rPr>
        <w:t>指导辖区内的水运工程</w:t>
      </w:r>
      <w:r>
        <w:rPr>
          <w:rFonts w:hint="eastAsia" w:ascii="宋体" w:hAnsi="宋体" w:eastAsia="方正仿宋_GBK"/>
          <w:color w:val="auto"/>
          <w:sz w:val="32"/>
          <w:szCs w:val="32"/>
          <w:highlight w:val="none"/>
        </w:rPr>
        <w:t>招标人、</w:t>
      </w:r>
      <w:r>
        <w:rPr>
          <w:rFonts w:ascii="宋体" w:hAnsi="宋体" w:eastAsia="方正仿宋_GBK"/>
          <w:color w:val="auto"/>
          <w:sz w:val="32"/>
          <w:szCs w:val="32"/>
          <w:highlight w:val="none"/>
        </w:rPr>
        <w:t>建设单位开展设计企业和施工企业信用评价</w:t>
      </w:r>
      <w:r>
        <w:rPr>
          <w:rFonts w:hint="eastAsia" w:ascii="宋体" w:hAnsi="宋体" w:eastAsia="方正仿宋_GBK"/>
          <w:color w:val="auto"/>
          <w:sz w:val="32"/>
          <w:szCs w:val="32"/>
          <w:highlight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color w:val="auto"/>
          <w:sz w:val="32"/>
          <w:szCs w:val="32"/>
          <w:highlight w:val="none"/>
          <w:u w:val="none"/>
          <w:lang w:eastAsia="zh-CN"/>
        </w:rPr>
      </w:pPr>
      <w:r>
        <w:rPr>
          <w:rFonts w:hint="eastAsia" w:ascii="宋体" w:hAnsi="宋体" w:eastAsia="方正仿宋_GBK" w:cs="Times New Roman"/>
          <w:color w:val="auto"/>
          <w:kern w:val="2"/>
          <w:sz w:val="32"/>
          <w:szCs w:val="32"/>
          <w:highlight w:val="none"/>
          <w:lang w:val="en-US" w:eastAsia="zh-CN" w:bidi="ar-SA"/>
        </w:rPr>
        <w:t>（二）</w:t>
      </w:r>
      <w:r>
        <w:rPr>
          <w:rFonts w:ascii="宋体" w:hAnsi="宋体" w:eastAsia="方正仿宋_GBK"/>
          <w:color w:val="auto"/>
          <w:sz w:val="32"/>
          <w:szCs w:val="32"/>
          <w:highlight w:val="none"/>
        </w:rPr>
        <w:t>对</w:t>
      </w:r>
      <w:r>
        <w:rPr>
          <w:rFonts w:hint="eastAsia" w:ascii="宋体" w:hAnsi="宋体" w:eastAsia="方正仿宋_GBK"/>
          <w:color w:val="auto"/>
          <w:sz w:val="32"/>
          <w:szCs w:val="32"/>
          <w:highlight w:val="none"/>
        </w:rPr>
        <w:t>招标人、</w:t>
      </w:r>
      <w:r>
        <w:rPr>
          <w:rFonts w:ascii="宋体" w:hAnsi="宋体" w:eastAsia="方正仿宋_GBK"/>
          <w:color w:val="auto"/>
          <w:sz w:val="32"/>
          <w:szCs w:val="32"/>
          <w:highlight w:val="none"/>
        </w:rPr>
        <w:t>建设单位上报的水运工程设计企业和施工企业投标行为和履约行为的初步评价结果进行审核</w:t>
      </w:r>
      <w:r>
        <w:rPr>
          <w:rFonts w:hint="eastAsia" w:ascii="宋体" w:hAnsi="宋体" w:eastAsia="方正仿宋_GBK"/>
          <w:color w:val="auto"/>
          <w:sz w:val="32"/>
          <w:szCs w:val="32"/>
          <w:highlight w:val="none"/>
          <w:lang w:eastAsia="zh-CN"/>
        </w:rPr>
        <w:t>，</w:t>
      </w:r>
      <w:r>
        <w:rPr>
          <w:rFonts w:hint="eastAsia" w:ascii="宋体" w:hAnsi="宋体" w:eastAsia="方正仿宋_GBK" w:cs="方正仿宋_GBK"/>
          <w:color w:val="auto"/>
          <w:sz w:val="32"/>
          <w:szCs w:val="32"/>
          <w:highlight w:val="none"/>
          <w:u w:val="none"/>
          <w:lang w:eastAsia="zh-CN"/>
        </w:rPr>
        <w:t>并将初评结果及时</w:t>
      </w:r>
      <w:r>
        <w:rPr>
          <w:rFonts w:hint="eastAsia" w:ascii="宋体" w:hAnsi="宋体" w:eastAsia="方正仿宋_GBK" w:cs="方正仿宋_GBK"/>
          <w:color w:val="auto"/>
          <w:sz w:val="32"/>
          <w:szCs w:val="32"/>
          <w:highlight w:val="none"/>
          <w:u w:val="none"/>
          <w:lang w:val="en-US" w:eastAsia="zh-CN"/>
        </w:rPr>
        <w:t>上</w:t>
      </w:r>
      <w:r>
        <w:rPr>
          <w:rFonts w:hint="eastAsia" w:ascii="宋体" w:hAnsi="宋体" w:eastAsia="方正仿宋_GBK" w:cs="方正仿宋_GBK"/>
          <w:color w:val="auto"/>
          <w:sz w:val="32"/>
          <w:szCs w:val="32"/>
          <w:highlight w:val="none"/>
          <w:u w:val="none"/>
          <w:lang w:eastAsia="zh-CN"/>
        </w:rPr>
        <w:t>报</w:t>
      </w:r>
      <w:r>
        <w:rPr>
          <w:rFonts w:hint="eastAsia" w:ascii="宋体" w:hAnsi="宋体" w:eastAsia="方正仿宋_GBK" w:cs="方正仿宋_GBK"/>
          <w:color w:val="auto"/>
          <w:sz w:val="32"/>
          <w:szCs w:val="32"/>
          <w:highlight w:val="none"/>
          <w:u w:val="none"/>
          <w:lang w:val="en-US" w:eastAsia="zh-CN"/>
        </w:rPr>
        <w:t>省航务管理局</w:t>
      </w:r>
      <w:r>
        <w:rPr>
          <w:rFonts w:hint="eastAsia" w:ascii="宋体" w:hAnsi="宋体" w:eastAsia="方正仿宋_GBK" w:cs="方正仿宋_GBK"/>
          <w:color w:val="auto"/>
          <w:sz w:val="32"/>
          <w:szCs w:val="32"/>
          <w:highlight w:val="none"/>
          <w:u w:val="none"/>
          <w:lang w:eastAsia="zh-CN"/>
        </w:rPr>
        <w:t>；</w:t>
      </w:r>
    </w:p>
    <w:p>
      <w:pPr>
        <w:widowControl/>
        <w:numPr>
          <w:ilvl w:val="0"/>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s="Times New Roman"/>
          <w:color w:val="auto"/>
          <w:kern w:val="2"/>
          <w:sz w:val="32"/>
          <w:szCs w:val="32"/>
          <w:highlight w:val="none"/>
          <w:lang w:val="en-US" w:eastAsia="zh-CN" w:bidi="ar-SA"/>
        </w:rPr>
        <w:t>（三）</w:t>
      </w:r>
      <w:r>
        <w:rPr>
          <w:rFonts w:ascii="宋体" w:hAnsi="宋体" w:eastAsia="方正仿宋_GBK"/>
          <w:color w:val="auto"/>
          <w:sz w:val="32"/>
          <w:szCs w:val="32"/>
          <w:highlight w:val="none"/>
        </w:rPr>
        <w:t>对其他信用行为进行评价。</w:t>
      </w:r>
    </w:p>
    <w:p>
      <w:pPr>
        <w:widowControl/>
        <w:numPr>
          <w:ilvl w:val="255"/>
          <w:numId w:val="0"/>
        </w:numPr>
        <w:spacing w:line="560" w:lineRule="exact"/>
        <w:rPr>
          <w:rFonts w:hint="eastAsia" w:ascii="宋体" w:hAnsi="宋体" w:eastAsia="方正仿宋_GBK"/>
          <w:color w:val="auto"/>
          <w:sz w:val="32"/>
          <w:szCs w:val="32"/>
          <w:highlight w:val="none"/>
          <w:lang w:eastAsia="zh-CN"/>
        </w:rPr>
      </w:pPr>
      <w:r>
        <w:rPr>
          <w:rFonts w:hint="eastAsia" w:ascii="宋体" w:hAnsi="宋体" w:eastAsia="方正仿宋_GBK"/>
          <w:color w:val="auto"/>
          <w:sz w:val="32"/>
          <w:szCs w:val="32"/>
          <w:highlight w:val="none"/>
        </w:rPr>
        <w:t xml:space="preserve">     对于跨州</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市</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的水运工程项目的设计、施工单位的信用评价，由省交通运输厅指定相关州</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市</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交通运输局负责开展。</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招标人</w:t>
      </w:r>
      <w:r>
        <w:rPr>
          <w:rFonts w:hint="eastAsia" w:ascii="宋体" w:hAnsi="宋体" w:eastAsia="方正仿宋_GBK"/>
          <w:color w:val="auto"/>
          <w:sz w:val="32"/>
          <w:szCs w:val="32"/>
          <w:highlight w:val="none"/>
        </w:rPr>
        <w:t>或</w:t>
      </w:r>
      <w:r>
        <w:rPr>
          <w:rFonts w:ascii="宋体" w:hAnsi="宋体" w:eastAsia="方正仿宋_GBK"/>
          <w:color w:val="auto"/>
          <w:sz w:val="32"/>
          <w:szCs w:val="32"/>
          <w:highlight w:val="none"/>
        </w:rPr>
        <w:t>建设单位的主要职责是：</w:t>
      </w:r>
    </w:p>
    <w:p>
      <w:pPr>
        <w:widowControl/>
        <w:numPr>
          <w:ilvl w:val="0"/>
          <w:numId w:val="3"/>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招标人负责其建设项目中参与投标的水运工程设计企业和施工企业投标行为的评价</w:t>
      </w:r>
      <w:r>
        <w:rPr>
          <w:rFonts w:hint="eastAsia" w:ascii="宋体" w:hAnsi="宋体" w:eastAsia="方正仿宋_GBK"/>
          <w:color w:val="auto"/>
          <w:sz w:val="32"/>
          <w:szCs w:val="32"/>
          <w:highlight w:val="none"/>
        </w:rPr>
        <w:t>；</w:t>
      </w:r>
    </w:p>
    <w:p>
      <w:pPr>
        <w:widowControl/>
        <w:numPr>
          <w:ilvl w:val="0"/>
          <w:numId w:val="3"/>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建设单位</w:t>
      </w:r>
      <w:r>
        <w:rPr>
          <w:rFonts w:hint="eastAsia" w:ascii="宋体" w:hAnsi="宋体" w:eastAsia="方正仿宋_GBK"/>
          <w:color w:val="auto"/>
          <w:sz w:val="32"/>
          <w:szCs w:val="32"/>
          <w:highlight w:val="none"/>
        </w:rPr>
        <w:t>负责</w:t>
      </w:r>
      <w:r>
        <w:rPr>
          <w:rFonts w:ascii="宋体" w:hAnsi="宋体" w:eastAsia="方正仿宋_GBK"/>
          <w:color w:val="auto"/>
          <w:sz w:val="32"/>
          <w:szCs w:val="32"/>
          <w:highlight w:val="none"/>
        </w:rPr>
        <w:t>参建水运工程设计企业和施工企业履约行为的评价</w:t>
      </w:r>
      <w:r>
        <w:rPr>
          <w:rFonts w:hint="eastAsia" w:ascii="宋体" w:hAnsi="宋体" w:eastAsia="方正仿宋_GBK"/>
          <w:color w:val="auto"/>
          <w:sz w:val="32"/>
          <w:szCs w:val="32"/>
          <w:highlight w:val="none"/>
        </w:rPr>
        <w:t>；</w:t>
      </w:r>
      <w:r>
        <w:rPr>
          <w:rFonts w:hint="eastAsia" w:ascii="宋体" w:hAnsi="宋体" w:eastAsia="方正仿宋_GBK"/>
          <w:color w:val="auto"/>
          <w:sz w:val="32"/>
          <w:szCs w:val="32"/>
          <w:highlight w:val="none"/>
          <w:lang w:val="en-US" w:eastAsia="zh-CN"/>
        </w:rPr>
        <w:t>对于通过招标方式选定的特许经营项目投资人依法自行提供设计、施工的，其履约行为由特许经营权出让人或委托机构进行初步评价；</w:t>
      </w:r>
    </w:p>
    <w:p>
      <w:pPr>
        <w:widowControl/>
        <w:numPr>
          <w:ilvl w:val="0"/>
          <w:numId w:val="0"/>
        </w:numPr>
        <w:adjustRightInd w:val="0"/>
        <w:snapToGrid w:val="0"/>
        <w:spacing w:line="600" w:lineRule="exact"/>
        <w:ind w:firstLine="640" w:firstLineChars="200"/>
        <w:rPr>
          <w:rFonts w:eastAsia="仿宋_GB2312"/>
          <w:snapToGrid w:val="0"/>
          <w:color w:val="auto"/>
          <w:sz w:val="32"/>
          <w:szCs w:val="32"/>
          <w:highlight w:val="none"/>
        </w:rPr>
      </w:pPr>
      <w:r>
        <w:rPr>
          <w:rFonts w:hint="eastAsia" w:eastAsia="仿宋_GB2312"/>
          <w:snapToGrid w:val="0"/>
          <w:color w:val="auto"/>
          <w:sz w:val="32"/>
          <w:szCs w:val="32"/>
          <w:highlight w:val="none"/>
          <w:lang w:eastAsia="zh-CN"/>
        </w:rPr>
        <w:t>（</w:t>
      </w:r>
      <w:r>
        <w:rPr>
          <w:rFonts w:hint="eastAsia" w:eastAsia="仿宋_GB2312"/>
          <w:snapToGrid w:val="0"/>
          <w:color w:val="auto"/>
          <w:sz w:val="32"/>
          <w:szCs w:val="32"/>
          <w:highlight w:val="none"/>
          <w:lang w:val="en-US" w:eastAsia="zh-CN"/>
        </w:rPr>
        <w:t>三</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在项目招标中按规定</w:t>
      </w:r>
      <w:r>
        <w:rPr>
          <w:rFonts w:eastAsia="仿宋_GB2312"/>
          <w:snapToGrid w:val="0"/>
          <w:color w:val="000000" w:themeColor="text1"/>
          <w:sz w:val="32"/>
          <w:szCs w:val="32"/>
          <w:highlight w:val="none"/>
          <w14:textFill>
            <w14:solidFill>
              <w14:schemeClr w14:val="tx1"/>
            </w14:solidFill>
          </w14:textFill>
        </w:rPr>
        <w:t>应用交通运输主管部门发</w:t>
      </w:r>
      <w:r>
        <w:rPr>
          <w:rFonts w:eastAsia="仿宋_GB2312"/>
          <w:snapToGrid w:val="0"/>
          <w:color w:val="auto"/>
          <w:sz w:val="32"/>
          <w:szCs w:val="32"/>
          <w:highlight w:val="none"/>
        </w:rPr>
        <w:t>布的最新信用评价结果。</w:t>
      </w:r>
    </w:p>
    <w:p>
      <w:pPr>
        <w:widowControl/>
        <w:numPr>
          <w:ilvl w:val="0"/>
          <w:numId w:val="1"/>
        </w:numPr>
        <w:spacing w:line="560" w:lineRule="exact"/>
        <w:ind w:firstLine="640" w:firstLineChars="200"/>
        <w:rPr>
          <w:rFonts w:eastAsia="仿宋_GB2312"/>
          <w:snapToGrid w:val="0"/>
          <w:color w:val="auto"/>
          <w:sz w:val="32"/>
          <w:szCs w:val="32"/>
          <w:highlight w:val="none"/>
        </w:rPr>
      </w:pPr>
      <w:r>
        <w:rPr>
          <w:rFonts w:eastAsia="仿宋_GB2312"/>
          <w:snapToGrid w:val="0"/>
          <w:color w:val="auto"/>
          <w:sz w:val="32"/>
          <w:szCs w:val="32"/>
          <w:highlight w:val="none"/>
        </w:rPr>
        <w:t>参评设计</w:t>
      </w:r>
      <w:r>
        <w:rPr>
          <w:rFonts w:hint="eastAsia" w:eastAsia="仿宋_GB2312"/>
          <w:snapToGrid w:val="0"/>
          <w:color w:val="auto"/>
          <w:sz w:val="32"/>
          <w:szCs w:val="32"/>
          <w:highlight w:val="none"/>
        </w:rPr>
        <w:t>或施工</w:t>
      </w:r>
      <w:r>
        <w:rPr>
          <w:rFonts w:eastAsia="仿宋_GB2312"/>
          <w:snapToGrid w:val="0"/>
          <w:color w:val="auto"/>
          <w:sz w:val="32"/>
          <w:szCs w:val="32"/>
          <w:highlight w:val="none"/>
        </w:rPr>
        <w:t>企业的主要职责</w:t>
      </w:r>
      <w:r>
        <w:rPr>
          <w:rFonts w:hint="eastAsia" w:eastAsia="仿宋_GB2312"/>
          <w:snapToGrid w:val="0"/>
          <w:color w:val="auto"/>
          <w:sz w:val="32"/>
          <w:szCs w:val="32"/>
          <w:highlight w:val="none"/>
        </w:rPr>
        <w:t>是</w:t>
      </w:r>
      <w:r>
        <w:rPr>
          <w:rFonts w:eastAsia="仿宋_GB2312"/>
          <w:snapToGrid w:val="0"/>
          <w:color w:val="auto"/>
          <w:sz w:val="32"/>
          <w:szCs w:val="32"/>
          <w:highlight w:val="none"/>
        </w:rPr>
        <w:t>：</w:t>
      </w:r>
    </w:p>
    <w:p>
      <w:pPr>
        <w:adjustRightInd w:val="0"/>
        <w:snapToGrid w:val="0"/>
        <w:spacing w:line="600" w:lineRule="exact"/>
        <w:ind w:firstLine="640" w:firstLineChars="200"/>
        <w:rPr>
          <w:rFonts w:hint="eastAsia" w:eastAsia="仿宋_GB2312"/>
          <w:snapToGrid w:val="0"/>
          <w:color w:val="auto"/>
          <w:sz w:val="32"/>
          <w:szCs w:val="32"/>
          <w:highlight w:val="none"/>
          <w:lang w:eastAsia="zh-CN"/>
        </w:rPr>
      </w:pPr>
      <w:r>
        <w:rPr>
          <w:rFonts w:eastAsia="仿宋_GB2312"/>
          <w:snapToGrid w:val="0"/>
          <w:color w:val="auto"/>
          <w:sz w:val="32"/>
          <w:szCs w:val="32"/>
          <w:highlight w:val="none"/>
        </w:rPr>
        <w:t>（一）配合</w:t>
      </w:r>
      <w:r>
        <w:rPr>
          <w:rFonts w:hint="eastAsia" w:eastAsia="仿宋_GB2312"/>
          <w:snapToGrid w:val="0"/>
          <w:color w:val="auto"/>
          <w:sz w:val="32"/>
          <w:szCs w:val="32"/>
          <w:highlight w:val="none"/>
          <w:lang w:val="en-US" w:eastAsia="zh-CN"/>
        </w:rPr>
        <w:t>评价单位</w:t>
      </w:r>
      <w:r>
        <w:rPr>
          <w:rFonts w:eastAsia="仿宋_GB2312"/>
          <w:snapToGrid w:val="0"/>
          <w:color w:val="auto"/>
          <w:sz w:val="32"/>
          <w:szCs w:val="32"/>
          <w:highlight w:val="none"/>
        </w:rPr>
        <w:t>采集、录入、确认信用评价信息</w:t>
      </w:r>
      <w:r>
        <w:rPr>
          <w:rFonts w:hint="eastAsia" w:eastAsia="仿宋_GB2312"/>
          <w:snapToGrid w:val="0"/>
          <w:color w:val="auto"/>
          <w:sz w:val="32"/>
          <w:szCs w:val="32"/>
          <w:highlight w:val="none"/>
          <w:lang w:val="en-US" w:eastAsia="zh-CN"/>
        </w:rPr>
        <w:t>；</w:t>
      </w:r>
    </w:p>
    <w:p>
      <w:pPr>
        <w:widowControl/>
        <w:numPr>
          <w:ilvl w:val="255"/>
          <w:numId w:val="0"/>
        </w:numPr>
        <w:adjustRightInd w:val="0"/>
        <w:snapToGrid w:val="0"/>
        <w:spacing w:line="600" w:lineRule="exact"/>
        <w:ind w:firstLine="640" w:firstLineChars="200"/>
        <w:rPr>
          <w:rFonts w:hint="default" w:eastAsia="仿宋_GB2312"/>
          <w:snapToGrid w:val="0"/>
          <w:color w:val="auto"/>
          <w:sz w:val="32"/>
          <w:szCs w:val="32"/>
          <w:highlight w:val="none"/>
          <w:lang w:val="en-US" w:eastAsia="zh-CN"/>
        </w:rPr>
      </w:pPr>
      <w:r>
        <w:rPr>
          <w:rFonts w:eastAsia="仿宋_GB2312"/>
          <w:snapToGrid w:val="0"/>
          <w:color w:val="auto"/>
          <w:sz w:val="32"/>
          <w:szCs w:val="32"/>
          <w:highlight w:val="none"/>
        </w:rPr>
        <w:t>（</w:t>
      </w:r>
      <w:r>
        <w:rPr>
          <w:rFonts w:hint="eastAsia" w:eastAsia="仿宋_GB2312"/>
          <w:snapToGrid w:val="0"/>
          <w:color w:val="auto"/>
          <w:sz w:val="32"/>
          <w:szCs w:val="32"/>
          <w:highlight w:val="none"/>
          <w:lang w:val="en-US" w:eastAsia="zh-CN"/>
        </w:rPr>
        <w:t>二</w:t>
      </w:r>
      <w:r>
        <w:rPr>
          <w:rFonts w:eastAsia="仿宋_GB2312"/>
          <w:snapToGrid w:val="0"/>
          <w:color w:val="auto"/>
          <w:sz w:val="32"/>
          <w:szCs w:val="32"/>
          <w:highlight w:val="none"/>
        </w:rPr>
        <w:t>）及时接收、查阅评价管理单位推送的具体评价扣分情况，有权依程序提出异议或申诉</w:t>
      </w:r>
      <w:r>
        <w:rPr>
          <w:rFonts w:hint="eastAsia" w:eastAsia="仿宋_GB2312"/>
          <w:snapToGrid w:val="0"/>
          <w:color w:val="auto"/>
          <w:sz w:val="32"/>
          <w:szCs w:val="32"/>
          <w:highlight w:val="none"/>
          <w:lang w:eastAsia="zh-CN"/>
        </w:rPr>
        <w:t>，</w:t>
      </w:r>
      <w:r>
        <w:rPr>
          <w:rFonts w:hint="eastAsia" w:eastAsia="仿宋_GB2312"/>
          <w:snapToGrid w:val="0"/>
          <w:color w:val="auto"/>
          <w:sz w:val="32"/>
          <w:szCs w:val="32"/>
          <w:highlight w:val="none"/>
          <w:lang w:val="en-US" w:eastAsia="zh-CN"/>
        </w:rPr>
        <w:t>及时申报加分项的证明材料。</w:t>
      </w:r>
    </w:p>
    <w:p>
      <w:pPr>
        <w:widowControl/>
        <w:numPr>
          <w:ilvl w:val="255"/>
          <w:numId w:val="0"/>
        </w:numPr>
        <w:adjustRightInd w:val="0"/>
        <w:snapToGrid w:val="0"/>
        <w:spacing w:line="600" w:lineRule="exact"/>
        <w:ind w:firstLine="640" w:firstLineChars="200"/>
        <w:jc w:val="left"/>
        <w:rPr>
          <w:rFonts w:eastAsia="黑体"/>
          <w:bCs/>
          <w:snapToGrid w:val="0"/>
          <w:color w:val="auto"/>
          <w:sz w:val="32"/>
          <w:szCs w:val="32"/>
          <w:highlight w:val="none"/>
        </w:rPr>
      </w:pPr>
    </w:p>
    <w:p>
      <w:pPr>
        <w:widowControl/>
        <w:spacing w:line="560" w:lineRule="exact"/>
        <w:jc w:val="center"/>
        <w:rPr>
          <w:rFonts w:eastAsia="黑体"/>
          <w:bCs/>
          <w:snapToGrid w:val="0"/>
          <w:color w:val="auto"/>
          <w:sz w:val="32"/>
          <w:szCs w:val="32"/>
          <w:highlight w:val="none"/>
        </w:rPr>
      </w:pPr>
      <w:r>
        <w:rPr>
          <w:rFonts w:eastAsia="黑体"/>
          <w:bCs/>
          <w:snapToGrid w:val="0"/>
          <w:color w:val="auto"/>
          <w:sz w:val="32"/>
          <w:szCs w:val="32"/>
          <w:highlight w:val="none"/>
        </w:rPr>
        <w:t>第</w:t>
      </w:r>
      <w:r>
        <w:rPr>
          <w:rFonts w:hint="eastAsia" w:eastAsia="黑体"/>
          <w:bCs/>
          <w:snapToGrid w:val="0"/>
          <w:color w:val="auto"/>
          <w:sz w:val="32"/>
          <w:szCs w:val="32"/>
          <w:highlight w:val="none"/>
        </w:rPr>
        <w:t>三</w:t>
      </w:r>
      <w:r>
        <w:rPr>
          <w:rFonts w:eastAsia="黑体"/>
          <w:bCs/>
          <w:snapToGrid w:val="0"/>
          <w:color w:val="auto"/>
          <w:sz w:val="32"/>
          <w:szCs w:val="32"/>
          <w:highlight w:val="none"/>
        </w:rPr>
        <w:t>章  评价内容、标准及依据</w:t>
      </w:r>
    </w:p>
    <w:p>
      <w:pPr>
        <w:pStyle w:val="2"/>
        <w:rPr>
          <w:highlight w:val="none"/>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水运工程设计和施工企业信用评价工作实行定期评价和动态管理相结合的方式。</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定期评价周期为1年，评价期为每年1月1日至12月31日。</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对存在严重失信行为、按规定直接进行定级的企业实行动态管理。</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水运工程设计企业和施工企业信用评价内容包括投标行为、履约行为和其他信用行为</w:t>
      </w:r>
      <w:r>
        <w:rPr>
          <w:rFonts w:hint="eastAsia" w:ascii="宋体" w:hAnsi="宋体" w:eastAsia="方正仿宋_GBK"/>
          <w:color w:val="auto"/>
          <w:sz w:val="32"/>
          <w:szCs w:val="32"/>
          <w:highlight w:val="none"/>
        </w:rPr>
        <w:t>。</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水运工程设计企业和施工企业信用评价采用综合评分制，总分为100分。</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对企业失信行为按照《云南省水运工程设计企业信用行为评定标准》《云南省水运工程施工企业信用行为评定标准》（以下简称《评定标准》，</w:t>
      </w:r>
      <w:r>
        <w:rPr>
          <w:rFonts w:hint="eastAsia" w:ascii="宋体" w:hAnsi="宋体" w:eastAsia="方正仿宋_GBK"/>
          <w:color w:val="auto"/>
          <w:sz w:val="32"/>
          <w:szCs w:val="32"/>
          <w:highlight w:val="none"/>
          <w:lang w:eastAsia="zh-CN"/>
        </w:rPr>
        <w:t>详</w:t>
      </w:r>
      <w:r>
        <w:rPr>
          <w:rFonts w:ascii="宋体" w:hAnsi="宋体" w:eastAsia="方正仿宋_GBK"/>
          <w:color w:val="auto"/>
          <w:sz w:val="32"/>
          <w:szCs w:val="32"/>
          <w:highlight w:val="none"/>
        </w:rPr>
        <w:t>见附件1</w:t>
      </w:r>
      <w:r>
        <w:rPr>
          <w:rFonts w:hint="eastAsia" w:ascii="宋体" w:hAnsi="宋体" w:eastAsia="方正仿宋_GBK"/>
          <w:color w:val="auto"/>
          <w:sz w:val="32"/>
          <w:szCs w:val="32"/>
          <w:highlight w:val="none"/>
          <w:lang w:eastAsia="zh-CN"/>
        </w:rPr>
        <w:t>、</w:t>
      </w:r>
      <w:r>
        <w:rPr>
          <w:rFonts w:ascii="宋体" w:hAnsi="宋体" w:eastAsia="方正仿宋_GBK"/>
          <w:color w:val="auto"/>
          <w:sz w:val="32"/>
          <w:szCs w:val="32"/>
          <w:highlight w:val="none"/>
        </w:rPr>
        <w:t>附件2）进行扣分。</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对在</w:t>
      </w:r>
      <w:r>
        <w:rPr>
          <w:rFonts w:hint="eastAsia" w:ascii="宋体" w:hAnsi="宋体" w:eastAsia="方正仿宋_GBK"/>
          <w:color w:val="auto"/>
          <w:sz w:val="32"/>
          <w:szCs w:val="32"/>
          <w:highlight w:val="none"/>
          <w:lang w:eastAsia="zh-CN"/>
        </w:rPr>
        <w:t>本省</w:t>
      </w:r>
      <w:r>
        <w:rPr>
          <w:rFonts w:ascii="宋体" w:hAnsi="宋体" w:eastAsia="方正仿宋_GBK"/>
          <w:color w:val="auto"/>
          <w:sz w:val="32"/>
          <w:szCs w:val="32"/>
          <w:highlight w:val="none"/>
        </w:rPr>
        <w:t>行政区域内评价周期中参加抢险救灾、应急保障、国防战备等任务中受到省部级以上行政机关表彰的企业，以及承担的水运工程建设项目获得国家科技进步奖（二等奖以上）、</w:t>
      </w:r>
      <w:r>
        <w:rPr>
          <w:color w:val="auto"/>
          <w:highlight w:val="none"/>
        </w:rPr>
        <w:fldChar w:fldCharType="begin"/>
      </w:r>
      <w:r>
        <w:rPr>
          <w:color w:val="auto"/>
          <w:highlight w:val="none"/>
        </w:rPr>
        <w:instrText xml:space="preserve"> HYPERLINK "https://baike.baidu.com/item/%E5%9B%BD%E5%AE%B6%E4%BC%98%E8%B4%A8%E5%B7%A5%E7%A8%8B%E5%A5%96/10981097?fromModule=lemma_inlink" \t "https://baike.baidu.com/item/%E6%B9%96%E5%8C%97%E7%9C%81%E6%B0%B4%E8%BF%90%E5%B7%A5%E7%A8%8B%E8%AE%BE%E8%AE%A1%E5%92%8C%E6%96%BD%E5%B7%A5%E4%BC%81%E4%B8%9A%E4%BF%A1%E7%94%A8%E4%BF%A1%E7%94%A8%E8%AF%84%E4%BB%B7%E5%AE%9E%E6%96%BD%E7%BB%86%E5%88%99/_blank" </w:instrText>
      </w:r>
      <w:r>
        <w:rPr>
          <w:color w:val="auto"/>
          <w:highlight w:val="none"/>
        </w:rPr>
        <w:fldChar w:fldCharType="separate"/>
      </w:r>
      <w:r>
        <w:rPr>
          <w:rFonts w:ascii="宋体" w:hAnsi="宋体" w:eastAsia="方正仿宋_GBK"/>
          <w:color w:val="auto"/>
          <w:sz w:val="32"/>
          <w:szCs w:val="32"/>
          <w:highlight w:val="none"/>
        </w:rPr>
        <w:t>国家优质工程奖</w:t>
      </w:r>
      <w:r>
        <w:rPr>
          <w:rFonts w:ascii="宋体" w:hAnsi="宋体" w:eastAsia="方正仿宋_GBK"/>
          <w:color w:val="auto"/>
          <w:sz w:val="32"/>
          <w:szCs w:val="32"/>
          <w:highlight w:val="none"/>
        </w:rPr>
        <w:fldChar w:fldCharType="end"/>
      </w:r>
      <w:r>
        <w:rPr>
          <w:rFonts w:ascii="宋体" w:hAnsi="宋体" w:eastAsia="方正仿宋_GBK"/>
          <w:color w:val="auto"/>
          <w:sz w:val="32"/>
          <w:szCs w:val="32"/>
          <w:highlight w:val="none"/>
        </w:rPr>
        <w:t>、</w:t>
      </w:r>
      <w:r>
        <w:rPr>
          <w:color w:val="auto"/>
          <w:highlight w:val="none"/>
        </w:rPr>
        <w:fldChar w:fldCharType="begin"/>
      </w:r>
      <w:r>
        <w:rPr>
          <w:color w:val="auto"/>
          <w:highlight w:val="none"/>
        </w:rPr>
        <w:instrText xml:space="preserve"> HYPERLINK "https://baike.baidu.com/item/%E8%A9%B9%E5%A4%A9%E4%BD%91%E5%A5%96/2323342?fromModule=lemma_inlink" \t "https://baike.baidu.com/item/%E6%B9%96%E5%8C%97%E7%9C%81%E6%B0%B4%E8%BF%90%E5%B7%A5%E7%A8%8B%E8%AE%BE%E8%AE%A1%E5%92%8C%E6%96%BD%E5%B7%A5%E4%BC%81%E4%B8%9A%E4%BF%A1%E7%94%A8%E4%BF%A1%E7%94%A8%E8%AF%84%E4%BB%B7%E5%AE%9E%E6%96%BD%E7%BB%86%E5%88%99/_blank" </w:instrText>
      </w:r>
      <w:r>
        <w:rPr>
          <w:color w:val="auto"/>
          <w:highlight w:val="none"/>
        </w:rPr>
        <w:fldChar w:fldCharType="separate"/>
      </w:r>
      <w:r>
        <w:rPr>
          <w:rFonts w:ascii="宋体" w:hAnsi="宋体" w:eastAsia="方正仿宋_GBK"/>
          <w:color w:val="auto"/>
          <w:sz w:val="32"/>
          <w:szCs w:val="32"/>
          <w:highlight w:val="none"/>
        </w:rPr>
        <w:t>詹天佑奖</w:t>
      </w:r>
      <w:r>
        <w:rPr>
          <w:rFonts w:ascii="宋体" w:hAnsi="宋体" w:eastAsia="方正仿宋_GBK"/>
          <w:color w:val="auto"/>
          <w:sz w:val="32"/>
          <w:szCs w:val="32"/>
          <w:highlight w:val="none"/>
        </w:rPr>
        <w:fldChar w:fldCharType="end"/>
      </w:r>
      <w:r>
        <w:rPr>
          <w:rFonts w:ascii="宋体" w:hAnsi="宋体" w:eastAsia="方正仿宋_GBK"/>
          <w:color w:val="auto"/>
          <w:sz w:val="32"/>
          <w:szCs w:val="32"/>
          <w:highlight w:val="none"/>
        </w:rPr>
        <w:t>、鲁班奖的企业，给予1分/次的加分奖励</w:t>
      </w:r>
      <w:r>
        <w:rPr>
          <w:rFonts w:hint="eastAsia" w:ascii="宋体" w:hAnsi="宋体" w:eastAsia="方正仿宋_GBK"/>
          <w:color w:val="auto"/>
          <w:sz w:val="32"/>
          <w:szCs w:val="32"/>
          <w:highlight w:val="none"/>
        </w:rPr>
        <w:t>，</w:t>
      </w:r>
      <w:r>
        <w:rPr>
          <w:rFonts w:ascii="宋体" w:hAnsi="宋体" w:eastAsia="方正仿宋_GBK"/>
          <w:color w:val="auto"/>
          <w:sz w:val="32"/>
          <w:szCs w:val="32"/>
          <w:highlight w:val="none"/>
        </w:rPr>
        <w:t>加分累计不超过3分</w:t>
      </w:r>
      <w:r>
        <w:rPr>
          <w:rFonts w:hint="eastAsia" w:ascii="宋体" w:hAnsi="宋体" w:eastAsia="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FFFFFF"/>
        </w:rPr>
        <w:t>同一事项获多个层级表彰的，按“就高不就低”原则加分，不予重复加分。</w:t>
      </w:r>
      <w:r>
        <w:rPr>
          <w:rFonts w:ascii="宋体" w:hAnsi="宋体" w:eastAsia="方正仿宋_GBK"/>
          <w:color w:val="auto"/>
          <w:sz w:val="32"/>
          <w:szCs w:val="32"/>
          <w:highlight w:val="none"/>
        </w:rPr>
        <w:t>加分后总分超过100分</w:t>
      </w:r>
      <w:r>
        <w:rPr>
          <w:rFonts w:hint="eastAsia" w:ascii="宋体" w:hAnsi="宋体" w:eastAsia="方正仿宋_GBK"/>
          <w:color w:val="auto"/>
          <w:sz w:val="32"/>
          <w:szCs w:val="32"/>
          <w:highlight w:val="none"/>
        </w:rPr>
        <w:t>，按100分计算</w:t>
      </w:r>
      <w:r>
        <w:rPr>
          <w:rFonts w:ascii="宋体" w:hAnsi="宋体" w:eastAsia="方正仿宋_GBK"/>
          <w:color w:val="auto"/>
          <w:sz w:val="32"/>
          <w:szCs w:val="32"/>
          <w:highlight w:val="none"/>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水运工程设计企业和施工企业信用评价评分计算按照《云南省水运工程设计企业和施工企业信用评价评分计算方法》（以下简称《计算方法》，</w:t>
      </w:r>
      <w:r>
        <w:rPr>
          <w:rFonts w:hint="eastAsia" w:ascii="宋体" w:hAnsi="宋体" w:eastAsia="方正仿宋_GBK"/>
          <w:color w:val="auto"/>
          <w:sz w:val="32"/>
          <w:szCs w:val="32"/>
          <w:highlight w:val="none"/>
          <w:lang w:eastAsia="zh-CN"/>
        </w:rPr>
        <w:t>详</w:t>
      </w:r>
      <w:r>
        <w:rPr>
          <w:rFonts w:ascii="宋体" w:hAnsi="宋体" w:eastAsia="方正仿宋_GBK"/>
          <w:color w:val="auto"/>
          <w:sz w:val="32"/>
          <w:szCs w:val="32"/>
          <w:highlight w:val="none"/>
        </w:rPr>
        <w:t>见附件3）执行。</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水运工程设计和施工企业信用评价等级分为AA、A、B、C、D五个等级，各信用等级对应的企业综合评分X分别为：</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AA级：95分≤X≤100分，信用好；</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A级：85分≤X＜95分，信用较好；</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B级：75分≤X＜85分，信用一般；</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C级：60分≤X＜75分，信用较差；</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D级：X＜60分，信用差。</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lang w:eastAsia="zh-CN"/>
        </w:rPr>
      </w:pPr>
      <w:r>
        <w:rPr>
          <w:rFonts w:ascii="宋体" w:hAnsi="宋体" w:eastAsia="方正仿宋_GBK"/>
          <w:color w:val="auto"/>
          <w:sz w:val="32"/>
          <w:szCs w:val="32"/>
          <w:highlight w:val="none"/>
        </w:rPr>
        <w:t>信用评价结果实行告知和公示制度。信用评价结果在省交通运输厅、“信用交通·云南”、省航务</w:t>
      </w:r>
      <w:r>
        <w:rPr>
          <w:rFonts w:hint="eastAsia" w:ascii="宋体" w:hAnsi="宋体" w:eastAsia="方正仿宋_GBK"/>
          <w:color w:val="auto"/>
          <w:sz w:val="32"/>
          <w:szCs w:val="32"/>
          <w:highlight w:val="none"/>
          <w:lang w:eastAsia="zh-CN"/>
        </w:rPr>
        <w:t>管理</w:t>
      </w:r>
      <w:r>
        <w:rPr>
          <w:rFonts w:ascii="宋体" w:hAnsi="宋体" w:eastAsia="方正仿宋_GBK"/>
          <w:color w:val="auto"/>
          <w:sz w:val="32"/>
          <w:szCs w:val="32"/>
          <w:highlight w:val="none"/>
        </w:rPr>
        <w:t>局网站上</w:t>
      </w:r>
      <w:r>
        <w:rPr>
          <w:rFonts w:hint="eastAsia" w:ascii="宋体" w:hAnsi="宋体" w:eastAsia="方正仿宋_GBK"/>
          <w:color w:val="auto"/>
          <w:sz w:val="32"/>
          <w:szCs w:val="32"/>
          <w:highlight w:val="none"/>
          <w:lang w:val="en-US" w:eastAsia="zh-CN"/>
        </w:rPr>
        <w:t>公示后发布公告</w:t>
      </w:r>
      <w:r>
        <w:rPr>
          <w:rFonts w:ascii="宋体" w:hAnsi="宋体" w:eastAsia="方正仿宋_GBK"/>
          <w:color w:val="auto"/>
          <w:sz w:val="32"/>
          <w:szCs w:val="32"/>
          <w:highlight w:val="none"/>
        </w:rPr>
        <w:t>。</w:t>
      </w:r>
    </w:p>
    <w:p>
      <w:pPr>
        <w:widowControl/>
        <w:numPr>
          <w:ilvl w:val="0"/>
          <w:numId w:val="1"/>
        </w:numPr>
        <w:spacing w:line="560" w:lineRule="exact"/>
        <w:ind w:firstLine="640" w:firstLineChars="200"/>
        <w:jc w:val="left"/>
        <w:rPr>
          <w:rFonts w:hint="eastAsia" w:ascii="宋体" w:hAnsi="宋体" w:eastAsia="方正仿宋_GBK"/>
          <w:color w:val="auto"/>
          <w:sz w:val="32"/>
          <w:szCs w:val="32"/>
          <w:highlight w:val="none"/>
        </w:rPr>
      </w:pPr>
      <w:bookmarkStart w:id="7" w:name="OLE_LINK36"/>
      <w:r>
        <w:rPr>
          <w:rFonts w:ascii="宋体" w:hAnsi="宋体" w:eastAsia="方正仿宋_GBK"/>
          <w:color w:val="auto"/>
          <w:sz w:val="32"/>
          <w:szCs w:val="32"/>
          <w:highlight w:val="none"/>
        </w:rPr>
        <w:t>水运工程设计和施工企业信用行为评分的依据</w:t>
      </w:r>
      <w:bookmarkEnd w:id="7"/>
      <w:r>
        <w:rPr>
          <w:rFonts w:ascii="宋体" w:hAnsi="宋体" w:eastAsia="方正仿宋_GBK"/>
          <w:color w:val="auto"/>
          <w:sz w:val="32"/>
          <w:szCs w:val="32"/>
          <w:highlight w:val="none"/>
        </w:rPr>
        <w:t>为：</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lang w:eastAsia="zh-CN"/>
        </w:rPr>
      </w:pPr>
      <w:r>
        <w:rPr>
          <w:rFonts w:ascii="宋体" w:hAnsi="宋体" w:eastAsia="方正仿宋_GBK"/>
          <w:color w:val="auto"/>
          <w:sz w:val="32"/>
          <w:szCs w:val="32"/>
          <w:highlight w:val="none"/>
        </w:rPr>
        <w:t>（一）交通运输部门的督查、检查结果或通报、决定等；</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二</w:t>
      </w:r>
      <w:r>
        <w:rPr>
          <w:rFonts w:ascii="宋体" w:hAnsi="宋体" w:eastAsia="方正仿宋_GBK"/>
          <w:color w:val="auto"/>
          <w:sz w:val="32"/>
          <w:szCs w:val="32"/>
          <w:highlight w:val="none"/>
        </w:rPr>
        <w:t>）招标人或项目建设、监理单位等管理工作中形成的文件；</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三</w:t>
      </w:r>
      <w:r>
        <w:rPr>
          <w:rFonts w:ascii="宋体" w:hAnsi="宋体" w:eastAsia="方正仿宋_GBK"/>
          <w:color w:val="auto"/>
          <w:sz w:val="32"/>
          <w:szCs w:val="32"/>
          <w:highlight w:val="none"/>
        </w:rPr>
        <w:t>）举报、投诉或质量、安全事故调查处理结果；</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四</w:t>
      </w:r>
      <w:r>
        <w:rPr>
          <w:rFonts w:ascii="宋体" w:hAnsi="宋体" w:eastAsia="方正仿宋_GBK"/>
          <w:color w:val="auto"/>
          <w:sz w:val="32"/>
          <w:szCs w:val="32"/>
          <w:highlight w:val="none"/>
        </w:rPr>
        <w:t>）司法判决、裁定、认定及审计意见等；</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五</w:t>
      </w:r>
      <w:r>
        <w:rPr>
          <w:rFonts w:ascii="宋体" w:hAnsi="宋体" w:eastAsia="方正仿宋_GBK"/>
          <w:color w:val="auto"/>
          <w:sz w:val="32"/>
          <w:szCs w:val="32"/>
          <w:highlight w:val="none"/>
        </w:rPr>
        <w:t>）法律、法规或者国家规定可以作为不良行为认定依据的其他文书</w:t>
      </w:r>
      <w:r>
        <w:rPr>
          <w:rFonts w:hint="eastAsia" w:ascii="宋体" w:hAnsi="宋体" w:eastAsia="方正仿宋_GBK"/>
          <w:color w:val="auto"/>
          <w:sz w:val="32"/>
          <w:szCs w:val="32"/>
          <w:highlight w:val="none"/>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（六）其他有关信用信息。</w:t>
      </w:r>
    </w:p>
    <w:p>
      <w:pPr>
        <w:widowControl/>
        <w:spacing w:line="560" w:lineRule="exact"/>
        <w:jc w:val="center"/>
        <w:rPr>
          <w:rFonts w:eastAsia="黑体"/>
          <w:bCs/>
          <w:snapToGrid w:val="0"/>
          <w:color w:val="auto"/>
          <w:sz w:val="32"/>
          <w:szCs w:val="32"/>
          <w:highlight w:val="none"/>
        </w:rPr>
      </w:pPr>
    </w:p>
    <w:p>
      <w:pPr>
        <w:widowControl/>
        <w:spacing w:line="560" w:lineRule="exact"/>
        <w:jc w:val="center"/>
        <w:rPr>
          <w:rFonts w:eastAsia="黑体"/>
          <w:bCs/>
          <w:snapToGrid w:val="0"/>
          <w:color w:val="auto"/>
          <w:sz w:val="32"/>
          <w:szCs w:val="32"/>
          <w:highlight w:val="none"/>
        </w:rPr>
      </w:pPr>
      <w:r>
        <w:rPr>
          <w:rFonts w:eastAsia="黑体"/>
          <w:bCs/>
          <w:snapToGrid w:val="0"/>
          <w:color w:val="auto"/>
          <w:sz w:val="32"/>
          <w:szCs w:val="32"/>
          <w:highlight w:val="none"/>
        </w:rPr>
        <w:t>第</w:t>
      </w:r>
      <w:r>
        <w:rPr>
          <w:rFonts w:hint="eastAsia" w:eastAsia="黑体"/>
          <w:bCs/>
          <w:snapToGrid w:val="0"/>
          <w:color w:val="auto"/>
          <w:sz w:val="32"/>
          <w:szCs w:val="32"/>
          <w:highlight w:val="none"/>
        </w:rPr>
        <w:t>四</w:t>
      </w:r>
      <w:r>
        <w:rPr>
          <w:rFonts w:eastAsia="黑体"/>
          <w:bCs/>
          <w:snapToGrid w:val="0"/>
          <w:color w:val="auto"/>
          <w:sz w:val="32"/>
          <w:szCs w:val="32"/>
          <w:highlight w:val="none"/>
        </w:rPr>
        <w:t>章  评价程序与分工</w:t>
      </w:r>
    </w:p>
    <w:p>
      <w:pPr>
        <w:pStyle w:val="2"/>
        <w:rPr>
          <w:rFonts w:hint="eastAsia"/>
          <w:highlight w:val="none"/>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水运工程设计企业和施工企业信用评价程序与分工：</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lang w:eastAsia="zh-CN"/>
        </w:rPr>
      </w:pPr>
      <w:r>
        <w:rPr>
          <w:rFonts w:ascii="宋体" w:hAnsi="宋体" w:eastAsia="方正仿宋_GBK"/>
          <w:color w:val="auto"/>
          <w:sz w:val="32"/>
          <w:szCs w:val="32"/>
          <w:highlight w:val="none"/>
        </w:rPr>
        <w:t>（一）投标行为评价。招标人应在签订承包合同后的15日内对参与投标且存在失信行为的水运工程设计和施工企业按照《评定标准》和《计算方法》进行评价，将评价结果书面告知被评价人，同时在信用系统录入评价信息和评标报告等佐证材料，报</w:t>
      </w:r>
      <w:r>
        <w:rPr>
          <w:rFonts w:hint="eastAsia" w:ascii="宋体" w:hAnsi="宋体" w:eastAsia="方正仿宋_GBK"/>
          <w:color w:val="auto"/>
          <w:sz w:val="32"/>
          <w:szCs w:val="32"/>
          <w:highlight w:val="none"/>
        </w:rPr>
        <w:t>具有权限的</w:t>
      </w:r>
      <w:r>
        <w:rPr>
          <w:rFonts w:ascii="宋体" w:hAnsi="宋体" w:eastAsia="方正仿宋_GBK"/>
          <w:color w:val="auto"/>
          <w:sz w:val="32"/>
          <w:szCs w:val="32"/>
          <w:highlight w:val="none"/>
        </w:rPr>
        <w:t>交通运输主管部门审核。</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联合体有不良投标行为的，其各方均按同一标准扣分。</w:t>
      </w:r>
    </w:p>
    <w:p>
      <w:pPr>
        <w:widowControl/>
        <w:numPr>
          <w:ilvl w:val="255"/>
          <w:numId w:val="0"/>
        </w:numPr>
        <w:spacing w:line="560" w:lineRule="exact"/>
        <w:ind w:firstLine="640" w:firstLineChars="200"/>
        <w:rPr>
          <w:rFonts w:hint="default" w:ascii="宋体" w:hAnsi="宋体" w:eastAsia="方正仿宋_GBK"/>
          <w:color w:val="auto"/>
          <w:sz w:val="32"/>
          <w:szCs w:val="32"/>
          <w:highlight w:val="none"/>
        </w:rPr>
      </w:pPr>
      <w:r>
        <w:rPr>
          <w:rFonts w:ascii="宋体" w:hAnsi="宋体" w:eastAsia="方正仿宋_GBK"/>
          <w:color w:val="auto"/>
          <w:sz w:val="32"/>
          <w:szCs w:val="32"/>
          <w:highlight w:val="none"/>
        </w:rPr>
        <w:t>（二）履约行为评价。项目法人（建设单位）结合建设管理工作，对水运工程设计和施工企业按照《评定标准》和《计算方法》进行评价，将评价结果书面告知被评价人，并于每年的1月31日前将上一年度的评价结果报</w:t>
      </w:r>
      <w:r>
        <w:rPr>
          <w:rFonts w:hint="eastAsia" w:ascii="宋体" w:hAnsi="宋体" w:eastAsia="方正仿宋_GBK"/>
          <w:color w:val="auto"/>
          <w:sz w:val="32"/>
          <w:szCs w:val="32"/>
          <w:highlight w:val="none"/>
        </w:rPr>
        <w:t>具有权限的</w:t>
      </w:r>
      <w:r>
        <w:rPr>
          <w:rFonts w:ascii="宋体" w:hAnsi="宋体" w:eastAsia="方正仿宋_GBK"/>
          <w:color w:val="auto"/>
          <w:sz w:val="32"/>
          <w:szCs w:val="32"/>
          <w:highlight w:val="none"/>
        </w:rPr>
        <w:t>管理部门审核确认，审核</w:t>
      </w:r>
      <w:r>
        <w:rPr>
          <w:rFonts w:hint="eastAsia" w:ascii="宋体" w:hAnsi="宋体" w:eastAsia="方正仿宋_GBK"/>
          <w:color w:val="auto"/>
          <w:sz w:val="32"/>
          <w:szCs w:val="32"/>
          <w:highlight w:val="none"/>
        </w:rPr>
        <w:t>时间</w:t>
      </w:r>
      <w:r>
        <w:rPr>
          <w:rFonts w:ascii="宋体" w:hAnsi="宋体" w:eastAsia="方正仿宋_GBK"/>
          <w:color w:val="auto"/>
          <w:sz w:val="32"/>
          <w:szCs w:val="32"/>
          <w:highlight w:val="none"/>
        </w:rPr>
        <w:t>不超过10</w:t>
      </w:r>
      <w:r>
        <w:rPr>
          <w:rFonts w:hint="eastAsia" w:ascii="宋体" w:hAnsi="宋体" w:eastAsia="方正仿宋_GBK"/>
          <w:color w:val="auto"/>
          <w:sz w:val="32"/>
          <w:szCs w:val="32"/>
          <w:highlight w:val="none"/>
        </w:rPr>
        <w:t>个</w:t>
      </w:r>
      <w:r>
        <w:rPr>
          <w:rFonts w:ascii="宋体" w:hAnsi="宋体" w:eastAsia="方正仿宋_GBK"/>
          <w:color w:val="auto"/>
          <w:sz w:val="32"/>
          <w:szCs w:val="32"/>
          <w:highlight w:val="none"/>
        </w:rPr>
        <w:t>工作日</w:t>
      </w:r>
      <w:r>
        <w:rPr>
          <w:rFonts w:hint="eastAsia" w:ascii="宋体" w:hAnsi="宋体" w:eastAsia="方正仿宋_GBK"/>
          <w:color w:val="auto"/>
          <w:sz w:val="32"/>
          <w:szCs w:val="32"/>
          <w:highlight w:val="none"/>
        </w:rPr>
        <w:t>。</w:t>
      </w:r>
      <w:r>
        <w:rPr>
          <w:rFonts w:ascii="宋体" w:hAnsi="宋体" w:eastAsia="方正仿宋_GBK"/>
          <w:color w:val="auto"/>
          <w:sz w:val="32"/>
          <w:szCs w:val="32"/>
          <w:highlight w:val="none"/>
        </w:rPr>
        <w:t>如有调整，必须对调整内容进行说明。</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对当年组织交工验收的工程项目，项目法人（建设单位）应在交工验收完成后一个月内完成履约行为评价。</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联合体有不良履约行为的，其各方均按同一标准进行评价。</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（三）其他信用行为评价。</w:t>
      </w:r>
      <w:r>
        <w:rPr>
          <w:rFonts w:hint="eastAsia" w:ascii="宋体" w:hAnsi="宋体" w:eastAsia="方正仿宋_GBK"/>
          <w:color w:val="auto"/>
          <w:sz w:val="32"/>
          <w:szCs w:val="32"/>
          <w:highlight w:val="none"/>
        </w:rPr>
        <w:t>各交通运输部门</w:t>
      </w:r>
      <w:r>
        <w:rPr>
          <w:rFonts w:ascii="宋体" w:hAnsi="宋体" w:eastAsia="方正仿宋_GBK"/>
          <w:color w:val="auto"/>
          <w:sz w:val="32"/>
          <w:szCs w:val="32"/>
          <w:highlight w:val="none"/>
        </w:rPr>
        <w:t>按照</w:t>
      </w:r>
      <w:r>
        <w:rPr>
          <w:rFonts w:hint="eastAsia" w:ascii="宋体" w:hAnsi="宋体" w:eastAsia="方正仿宋_GBK"/>
          <w:color w:val="auto"/>
          <w:sz w:val="32"/>
          <w:szCs w:val="32"/>
          <w:highlight w:val="none"/>
        </w:rPr>
        <w:t>职责和</w:t>
      </w:r>
      <w:r>
        <w:rPr>
          <w:rFonts w:ascii="宋体" w:hAnsi="宋体" w:eastAsia="方正仿宋_GBK"/>
          <w:color w:val="auto"/>
          <w:sz w:val="32"/>
          <w:szCs w:val="32"/>
          <w:highlight w:val="none"/>
        </w:rPr>
        <w:t>《评定标准》《计算方法》进行评价，</w:t>
      </w:r>
      <w:r>
        <w:rPr>
          <w:rFonts w:hint="eastAsia" w:ascii="宋体" w:hAnsi="宋体" w:eastAsia="方正仿宋_GBK"/>
          <w:color w:val="auto"/>
          <w:sz w:val="32"/>
          <w:szCs w:val="32"/>
          <w:highlight w:val="none"/>
          <w:lang w:val="en-US" w:eastAsia="zh-CN"/>
        </w:rPr>
        <w:t>并</w:t>
      </w:r>
      <w:r>
        <w:rPr>
          <w:rFonts w:ascii="宋体" w:hAnsi="宋体" w:eastAsia="方正仿宋_GBK"/>
          <w:color w:val="auto"/>
          <w:sz w:val="32"/>
          <w:szCs w:val="32"/>
          <w:highlight w:val="none"/>
        </w:rPr>
        <w:t>将评价结果书面告知被评价人。</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(四)省级综合评价。省交通运输厅根据</w:t>
      </w:r>
      <w:r>
        <w:rPr>
          <w:rFonts w:hint="eastAsia" w:ascii="宋体" w:hAnsi="宋体" w:eastAsia="方正仿宋_GBK"/>
          <w:color w:val="auto"/>
          <w:sz w:val="32"/>
          <w:szCs w:val="32"/>
          <w:highlight w:val="none"/>
          <w:lang w:eastAsia="zh-CN"/>
        </w:rPr>
        <w:t>省航务管理局</w:t>
      </w:r>
      <w:r>
        <w:rPr>
          <w:rFonts w:hint="eastAsia" w:ascii="宋体" w:hAnsi="宋体" w:eastAsia="方正仿宋_GBK"/>
          <w:color w:val="auto"/>
          <w:sz w:val="32"/>
          <w:szCs w:val="32"/>
          <w:highlight w:val="none"/>
          <w:lang w:val="en-US" w:eastAsia="zh-CN"/>
        </w:rPr>
        <w:t>复核结果</w:t>
      </w:r>
      <w:r>
        <w:rPr>
          <w:rFonts w:ascii="宋体" w:hAnsi="宋体" w:eastAsia="方正仿宋_GBK"/>
          <w:color w:val="auto"/>
          <w:sz w:val="32"/>
          <w:szCs w:val="32"/>
          <w:highlight w:val="none"/>
        </w:rPr>
        <w:t>进行综合评价，并将评价结果</w:t>
      </w:r>
      <w:r>
        <w:rPr>
          <w:rFonts w:hint="eastAsia" w:ascii="宋体" w:hAnsi="宋体" w:eastAsia="方正仿宋_GBK"/>
          <w:color w:val="auto"/>
          <w:sz w:val="32"/>
          <w:szCs w:val="32"/>
          <w:highlight w:val="none"/>
        </w:rPr>
        <w:t>面向社会进行</w:t>
      </w:r>
      <w:r>
        <w:rPr>
          <w:rFonts w:ascii="宋体" w:hAnsi="宋体" w:eastAsia="方正仿宋_GBK"/>
          <w:color w:val="auto"/>
          <w:sz w:val="32"/>
          <w:szCs w:val="32"/>
          <w:highlight w:val="none"/>
        </w:rPr>
        <w:t>公示。公示</w:t>
      </w:r>
      <w:r>
        <w:rPr>
          <w:rFonts w:hint="eastAsia" w:ascii="宋体" w:hAnsi="宋体" w:eastAsia="方正仿宋_GBK"/>
          <w:color w:val="auto"/>
          <w:sz w:val="32"/>
          <w:szCs w:val="32"/>
          <w:highlight w:val="none"/>
        </w:rPr>
        <w:t>时间</w:t>
      </w:r>
      <w:r>
        <w:rPr>
          <w:rFonts w:ascii="宋体" w:hAnsi="宋体" w:eastAsia="方正仿宋_GBK"/>
          <w:color w:val="auto"/>
          <w:sz w:val="32"/>
          <w:szCs w:val="32"/>
          <w:highlight w:val="none"/>
        </w:rPr>
        <w:t>不少于10个工作日。</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省交通运输厅于每年3月31日前完成上一年度省级综合评价工作，并于4月15日前</w:t>
      </w:r>
      <w:r>
        <w:rPr>
          <w:rFonts w:hint="eastAsia" w:ascii="宋体" w:hAnsi="宋体" w:eastAsia="方正仿宋_GBK"/>
          <w:color w:val="auto"/>
          <w:sz w:val="32"/>
          <w:szCs w:val="32"/>
          <w:highlight w:val="none"/>
        </w:rPr>
        <w:t>按有关要求将</w:t>
      </w:r>
      <w:r>
        <w:rPr>
          <w:rFonts w:ascii="宋体" w:hAnsi="宋体" w:eastAsia="方正仿宋_GBK"/>
          <w:color w:val="auto"/>
          <w:sz w:val="32"/>
          <w:szCs w:val="32"/>
          <w:highlight w:val="none"/>
        </w:rPr>
        <w:t>评价结果报交通运输部。</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lang w:val="en-US" w:eastAsia="zh-CN"/>
        </w:rPr>
      </w:pPr>
      <w:r>
        <w:rPr>
          <w:rFonts w:hint="eastAsia" w:ascii="宋体" w:hAnsi="宋体" w:eastAsia="方正仿宋_GBK"/>
          <w:color w:val="auto"/>
          <w:sz w:val="32"/>
          <w:szCs w:val="32"/>
          <w:highlight w:val="none"/>
        </w:rPr>
        <w:t>对</w:t>
      </w:r>
      <w:r>
        <w:rPr>
          <w:rFonts w:ascii="宋体" w:hAnsi="宋体" w:eastAsia="方正仿宋_GBK"/>
          <w:color w:val="auto"/>
          <w:sz w:val="32"/>
          <w:szCs w:val="32"/>
          <w:highlight w:val="none"/>
        </w:rPr>
        <w:t>发生严重失信行为</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lang w:val="en-US" w:eastAsia="zh-CN"/>
        </w:rPr>
        <w:t>按</w:t>
      </w:r>
      <w:r>
        <w:rPr>
          <w:rFonts w:hint="eastAsia" w:ascii="宋体" w:hAnsi="宋体" w:eastAsia="方正仿宋_GBK" w:cs="仿宋"/>
          <w:b w:val="0"/>
          <w:sz w:val="32"/>
          <w:szCs w:val="32"/>
          <w:highlight w:val="none"/>
          <w:u w:val="none"/>
          <w:lang w:val="en-US" w:eastAsia="zh-CN"/>
        </w:rPr>
        <w:t>《评定标准》应</w:t>
      </w:r>
      <w:r>
        <w:rPr>
          <w:rFonts w:ascii="宋体" w:hAnsi="宋体" w:eastAsia="方正仿宋_GBK"/>
          <w:color w:val="auto"/>
          <w:sz w:val="32"/>
          <w:szCs w:val="32"/>
          <w:highlight w:val="none"/>
        </w:rPr>
        <w:t>定为D级的水运工程设计企业和施工企业，</w:t>
      </w:r>
      <w:r>
        <w:rPr>
          <w:rFonts w:hint="eastAsia" w:ascii="宋体" w:hAnsi="宋体" w:eastAsia="方正仿宋_GBK" w:cs="仿宋"/>
          <w:b w:val="0"/>
          <w:sz w:val="32"/>
          <w:szCs w:val="32"/>
          <w:highlight w:val="none"/>
          <w:u w:val="none"/>
          <w:lang w:val="en-US" w:eastAsia="zh-CN"/>
        </w:rPr>
        <w:t>州（市）、县（市、区）交通运输局提出初核意见，报省航务管理局审核后，由省交通运输厅确定为D级，并自确定信用等级之</w:t>
      </w:r>
      <w:r>
        <w:rPr>
          <w:rFonts w:hint="eastAsia" w:ascii="宋体" w:hAnsi="宋体" w:eastAsia="方正仿宋_GBK"/>
          <w:color w:val="auto"/>
          <w:sz w:val="32"/>
          <w:szCs w:val="32"/>
          <w:highlight w:val="none"/>
          <w:lang w:val="en-US" w:eastAsia="zh-CN"/>
        </w:rPr>
        <w:t>日起10</w:t>
      </w:r>
      <w:r>
        <w:rPr>
          <w:rFonts w:hint="eastAsia" w:ascii="宋体" w:hAnsi="宋体" w:eastAsia="方正仿宋_GBK"/>
          <w:color w:val="auto"/>
          <w:sz w:val="32"/>
          <w:szCs w:val="32"/>
          <w:highlight w:val="none"/>
        </w:rPr>
        <w:t>个工作</w:t>
      </w:r>
      <w:r>
        <w:rPr>
          <w:rFonts w:hint="eastAsia" w:ascii="宋体" w:hAnsi="宋体" w:eastAsia="方正仿宋_GBK"/>
          <w:color w:val="auto"/>
          <w:sz w:val="32"/>
          <w:szCs w:val="32"/>
          <w:highlight w:val="none"/>
          <w:lang w:eastAsia="zh-CN"/>
        </w:rPr>
        <w:t>日</w:t>
      </w:r>
      <w:r>
        <w:rPr>
          <w:rFonts w:hint="eastAsia" w:ascii="宋体" w:hAnsi="宋体" w:eastAsia="方正仿宋_GBK"/>
          <w:color w:val="auto"/>
          <w:sz w:val="32"/>
          <w:szCs w:val="32"/>
          <w:highlight w:val="none"/>
          <w:lang w:val="en-US" w:eastAsia="zh-CN"/>
        </w:rPr>
        <w:t>内将评价结果报交通运输部。</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eastAsia="仿宋_GB2312"/>
          <w:snapToGrid w:val="0"/>
          <w:color w:val="auto"/>
          <w:sz w:val="32"/>
          <w:szCs w:val="32"/>
          <w:highlight w:val="none"/>
        </w:rPr>
        <w:t>对受到</w:t>
      </w:r>
      <w:r>
        <w:rPr>
          <w:rFonts w:eastAsia="仿宋_GB2312"/>
          <w:snapToGrid w:val="0"/>
          <w:color w:val="auto"/>
          <w:sz w:val="32"/>
          <w:szCs w:val="32"/>
          <w:highlight w:val="none"/>
        </w:rPr>
        <w:t>行政处罚的企业，调整为</w:t>
      </w:r>
      <w:r>
        <w:rPr>
          <w:rFonts w:ascii="宋体" w:hAnsi="宋体" w:eastAsia="方正仿宋_GBK"/>
          <w:color w:val="auto"/>
          <w:sz w:val="32"/>
          <w:szCs w:val="32"/>
          <w:highlight w:val="none"/>
        </w:rPr>
        <w:t>D</w:t>
      </w:r>
      <w:r>
        <w:rPr>
          <w:rFonts w:eastAsia="仿宋_GB2312"/>
          <w:snapToGrid w:val="0"/>
          <w:color w:val="auto"/>
          <w:sz w:val="32"/>
          <w:szCs w:val="32"/>
          <w:highlight w:val="none"/>
        </w:rPr>
        <w:t>级的时间不短于行政处罚期限，不受评价周期限制。</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bookmarkStart w:id="8" w:name="OLE_LINK43"/>
      <w:r>
        <w:rPr>
          <w:rFonts w:hint="eastAsia" w:ascii="宋体" w:hAnsi="宋体" w:eastAsia="方正仿宋_GBK"/>
          <w:color w:val="auto"/>
          <w:sz w:val="32"/>
          <w:szCs w:val="32"/>
          <w:highlight w:val="none"/>
        </w:rPr>
        <w:t>水运工程设计和施工企业对综合评价结果有异议</w:t>
      </w:r>
      <w:bookmarkEnd w:id="8"/>
      <w:r>
        <w:rPr>
          <w:rFonts w:hint="eastAsia" w:ascii="宋体" w:hAnsi="宋体" w:eastAsia="方正仿宋_GBK"/>
          <w:color w:val="auto"/>
          <w:sz w:val="32"/>
          <w:szCs w:val="32"/>
          <w:highlight w:val="none"/>
        </w:rPr>
        <w:t>的，可在公示期限内向</w:t>
      </w:r>
      <w:r>
        <w:rPr>
          <w:rFonts w:hint="eastAsia" w:ascii="宋体" w:hAnsi="宋体" w:eastAsia="方正仿宋_GBK"/>
          <w:color w:val="auto"/>
          <w:sz w:val="32"/>
          <w:szCs w:val="32"/>
          <w:highlight w:val="none"/>
          <w:lang w:eastAsia="zh-CN"/>
        </w:rPr>
        <w:t>省航务管理局</w:t>
      </w:r>
      <w:r>
        <w:rPr>
          <w:rFonts w:hint="eastAsia" w:ascii="宋体" w:hAnsi="宋体" w:eastAsia="方正仿宋_GBK"/>
          <w:color w:val="auto"/>
          <w:sz w:val="32"/>
          <w:szCs w:val="32"/>
          <w:highlight w:val="none"/>
        </w:rPr>
        <w:t>提出申诉或举报，并提交申诉或举报书面相关证明材料。</w:t>
      </w:r>
      <w:r>
        <w:rPr>
          <w:rFonts w:hint="eastAsia" w:ascii="宋体" w:hAnsi="宋体" w:eastAsia="方正仿宋_GBK"/>
          <w:color w:val="auto"/>
          <w:sz w:val="32"/>
          <w:szCs w:val="32"/>
          <w:highlight w:val="none"/>
          <w:lang w:eastAsia="zh-CN"/>
        </w:rPr>
        <w:t>省航务管理局</w:t>
      </w:r>
      <w:r>
        <w:rPr>
          <w:rFonts w:hint="eastAsia" w:ascii="宋体" w:hAnsi="宋体" w:eastAsia="方正仿宋_GBK"/>
          <w:color w:val="auto"/>
          <w:sz w:val="32"/>
          <w:szCs w:val="32"/>
          <w:highlight w:val="none"/>
        </w:rPr>
        <w:t>收到申诉或举报材料后，应及时组织核查，并在15个工作日内将处理结果书面答复申诉人或举报人。</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水运工程设计企业和施工企业信用评价结果有效期1年（信用评价动态调整结果的有效期限另计），下一年度</w:t>
      </w:r>
      <w:r>
        <w:rPr>
          <w:rFonts w:hint="eastAsia" w:ascii="宋体" w:hAnsi="宋体" w:eastAsia="方正仿宋_GBK"/>
          <w:color w:val="auto"/>
          <w:sz w:val="32"/>
          <w:szCs w:val="32"/>
          <w:highlight w:val="none"/>
          <w:lang w:eastAsia="zh-CN"/>
        </w:rPr>
        <w:t>在云南省</w:t>
      </w:r>
      <w:r>
        <w:rPr>
          <w:rFonts w:hint="eastAsia" w:ascii="宋体" w:hAnsi="宋体" w:eastAsia="方正仿宋_GBK"/>
          <w:color w:val="auto"/>
          <w:sz w:val="32"/>
          <w:szCs w:val="32"/>
          <w:highlight w:val="none"/>
        </w:rPr>
        <w:t>无信用评价结果的，</w:t>
      </w:r>
      <w:r>
        <w:rPr>
          <w:rFonts w:hint="eastAsia" w:ascii="宋体" w:hAnsi="宋体" w:eastAsia="方正仿宋_GBK"/>
          <w:color w:val="auto"/>
          <w:sz w:val="32"/>
          <w:szCs w:val="32"/>
          <w:highlight w:val="none"/>
          <w:lang w:eastAsia="zh-CN"/>
        </w:rPr>
        <w:t>其在云南省</w:t>
      </w:r>
      <w:r>
        <w:rPr>
          <w:rFonts w:hint="eastAsia" w:ascii="宋体" w:hAnsi="宋体" w:eastAsia="方正仿宋_GBK"/>
          <w:color w:val="auto"/>
          <w:sz w:val="32"/>
          <w:szCs w:val="32"/>
          <w:highlight w:val="none"/>
        </w:rPr>
        <w:t>信用评价等级可延续1年,信用等级延续1年后仍无信用评价结果的，按照初次进入云南省确定，但不得高于其在云南省最近年度评价等级的上一等级。</w:t>
      </w:r>
    </w:p>
    <w:p>
      <w:pPr>
        <w:widowControl/>
        <w:spacing w:line="560" w:lineRule="exact"/>
        <w:jc w:val="center"/>
        <w:rPr>
          <w:rFonts w:eastAsia="黑体"/>
          <w:bCs/>
          <w:snapToGrid w:val="0"/>
          <w:color w:val="auto"/>
          <w:sz w:val="32"/>
          <w:szCs w:val="32"/>
          <w:highlight w:val="none"/>
        </w:rPr>
      </w:pPr>
    </w:p>
    <w:p>
      <w:pPr>
        <w:widowControl/>
        <w:spacing w:line="560" w:lineRule="exact"/>
        <w:jc w:val="center"/>
        <w:rPr>
          <w:rFonts w:eastAsia="黑体"/>
          <w:bCs/>
          <w:snapToGrid w:val="0"/>
          <w:color w:val="auto"/>
          <w:sz w:val="32"/>
          <w:szCs w:val="32"/>
          <w:highlight w:val="none"/>
        </w:rPr>
      </w:pPr>
      <w:r>
        <w:rPr>
          <w:rFonts w:eastAsia="黑体"/>
          <w:bCs/>
          <w:snapToGrid w:val="0"/>
          <w:color w:val="auto"/>
          <w:sz w:val="32"/>
          <w:szCs w:val="32"/>
          <w:highlight w:val="none"/>
        </w:rPr>
        <w:t>第</w:t>
      </w:r>
      <w:r>
        <w:rPr>
          <w:rFonts w:hint="eastAsia" w:eastAsia="黑体"/>
          <w:bCs/>
          <w:snapToGrid w:val="0"/>
          <w:color w:val="auto"/>
          <w:sz w:val="32"/>
          <w:szCs w:val="32"/>
          <w:highlight w:val="none"/>
        </w:rPr>
        <w:t>五</w:t>
      </w:r>
      <w:r>
        <w:rPr>
          <w:rFonts w:eastAsia="黑体"/>
          <w:bCs/>
          <w:snapToGrid w:val="0"/>
          <w:color w:val="auto"/>
          <w:sz w:val="32"/>
          <w:szCs w:val="32"/>
          <w:highlight w:val="none"/>
        </w:rPr>
        <w:t>章  信用评价</w:t>
      </w:r>
      <w:r>
        <w:rPr>
          <w:rFonts w:hint="eastAsia" w:eastAsia="黑体"/>
          <w:bCs/>
          <w:snapToGrid w:val="0"/>
          <w:color w:val="auto"/>
          <w:sz w:val="32"/>
          <w:szCs w:val="32"/>
          <w:highlight w:val="none"/>
        </w:rPr>
        <w:t>等级</w:t>
      </w:r>
      <w:r>
        <w:rPr>
          <w:rFonts w:hint="eastAsia" w:eastAsia="黑体"/>
          <w:bCs/>
          <w:snapToGrid w:val="0"/>
          <w:color w:val="auto"/>
          <w:sz w:val="32"/>
          <w:szCs w:val="32"/>
          <w:highlight w:val="none"/>
          <w:lang w:val="en-US" w:eastAsia="zh-CN"/>
        </w:rPr>
        <w:t>认定及</w:t>
      </w:r>
      <w:r>
        <w:rPr>
          <w:rFonts w:eastAsia="黑体"/>
          <w:bCs/>
          <w:snapToGrid w:val="0"/>
          <w:color w:val="auto"/>
          <w:sz w:val="32"/>
          <w:szCs w:val="32"/>
          <w:highlight w:val="none"/>
        </w:rPr>
        <w:t>应用</w:t>
      </w:r>
    </w:p>
    <w:p>
      <w:pPr>
        <w:pStyle w:val="2"/>
        <w:rPr>
          <w:highlight w:val="none"/>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省级综合评价结果应用于云南省行政区域。</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水运工程设计企业和施工企业初次进入云南省从业时，其信用等级按照交通运输部全国汇总评价结果确定。无全国汇总评价结果，且在其他省份无严重失信行为的企业，信用等级可按A级对待；若有严重失信行为的，可参照</w:t>
      </w:r>
      <w:r>
        <w:rPr>
          <w:rFonts w:hint="eastAsia" w:ascii="宋体" w:hAnsi="宋体" w:eastAsia="方正仿宋_GBK"/>
          <w:strike w:val="0"/>
          <w:dstrike w:val="0"/>
          <w:color w:val="auto"/>
          <w:sz w:val="32"/>
          <w:szCs w:val="32"/>
          <w:highlight w:val="none"/>
        </w:rPr>
        <w:t>相关省份或交通运输部部属单位</w:t>
      </w:r>
      <w:r>
        <w:rPr>
          <w:rFonts w:hint="eastAsia" w:ascii="宋体" w:hAnsi="宋体" w:eastAsia="方正仿宋_GBK"/>
          <w:color w:val="auto"/>
          <w:sz w:val="32"/>
          <w:szCs w:val="32"/>
          <w:highlight w:val="none"/>
        </w:rPr>
        <w:t>信用评价结果确定其信用等级。联合体参与投标的，其信用评价等级按照联合体中最低等级予以认定。</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水运工程设计企业和施工企业如转制、改名的，其信用等级相应转入转制、改名后的企业。如被注销、破产的，</w:t>
      </w:r>
      <w:r>
        <w:rPr>
          <w:rFonts w:hint="eastAsia" w:ascii="宋体" w:hAnsi="宋体" w:eastAsia="方正仿宋_GBK"/>
          <w:color w:val="auto"/>
          <w:sz w:val="32"/>
          <w:szCs w:val="32"/>
          <w:highlight w:val="none"/>
          <w:lang w:eastAsia="zh-CN"/>
        </w:rPr>
        <w:t>按程序</w:t>
      </w:r>
      <w:r>
        <w:rPr>
          <w:rFonts w:ascii="宋体" w:hAnsi="宋体" w:eastAsia="方正仿宋_GBK"/>
          <w:color w:val="auto"/>
          <w:sz w:val="32"/>
          <w:szCs w:val="32"/>
          <w:highlight w:val="none"/>
        </w:rPr>
        <w:t>取消其信用等级。资质升级的，其信用评价等级不变。企业（机构）分立、合并以及其他特殊情形的，其相关参评项目合同主体已完成变更后，根据存续企业或新设企业的实际情况以及从业表现，重新确定其信用评价等级，但不得高于原评价等级较低一方。</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水运工程设计和施工企业应按规定及时在</w:t>
      </w:r>
      <w:r>
        <w:rPr>
          <w:rFonts w:hint="eastAsia" w:ascii="宋体" w:hAnsi="宋体" w:eastAsia="方正仿宋_GBK"/>
          <w:color w:val="auto"/>
          <w:sz w:val="32"/>
          <w:szCs w:val="32"/>
          <w:highlight w:val="none"/>
          <w:lang w:val="en-US" w:eastAsia="zh-CN"/>
        </w:rPr>
        <w:t>信用系统</w:t>
      </w:r>
      <w:r>
        <w:rPr>
          <w:rFonts w:ascii="宋体" w:hAnsi="宋体" w:eastAsia="方正仿宋_GBK"/>
          <w:color w:val="auto"/>
          <w:sz w:val="32"/>
          <w:szCs w:val="32"/>
          <w:highlight w:val="none"/>
        </w:rPr>
        <w:t>录入和更新企业基本信息，对于未按规定填报、变更信用信息，或填报、变更信用信息存在造假行为的企业，将按照《评定标准》进行扣分。</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水运工程设计企业和施工企业信用评价结果在招投标工作中的应用，由招标人或建设单位根据项目实际情况采用，并在资格预审文件</w:t>
      </w:r>
      <w:r>
        <w:rPr>
          <w:rFonts w:hint="eastAsia" w:ascii="宋体" w:hAnsi="宋体" w:eastAsia="方正仿宋_GBK"/>
          <w:color w:val="auto"/>
          <w:sz w:val="32"/>
          <w:szCs w:val="32"/>
          <w:highlight w:val="none"/>
          <w:lang w:val="en-US" w:eastAsia="zh-CN"/>
        </w:rPr>
        <w:t>及</w:t>
      </w:r>
      <w:r>
        <w:rPr>
          <w:rFonts w:hint="eastAsia" w:ascii="宋体" w:hAnsi="宋体" w:eastAsia="方正仿宋_GBK"/>
          <w:color w:val="auto"/>
          <w:sz w:val="32"/>
          <w:szCs w:val="32"/>
          <w:highlight w:val="none"/>
        </w:rPr>
        <w:t>招标文件中明确载明。</w:t>
      </w:r>
    </w:p>
    <w:p>
      <w:pPr>
        <w:widowControl/>
        <w:numPr>
          <w:ilvl w:val="0"/>
          <w:numId w:val="4"/>
        </w:numPr>
        <w:spacing w:line="560" w:lineRule="exact"/>
        <w:ind w:firstLine="640" w:firstLineChars="200"/>
        <w:rPr>
          <w:rFonts w:hint="eastAsia" w:ascii="宋体" w:hAnsi="宋体" w:eastAsia="方正仿宋_GBK"/>
          <w:color w:val="auto"/>
          <w:sz w:val="32"/>
          <w:szCs w:val="32"/>
          <w:highlight w:val="none"/>
          <w:lang w:val="en-US" w:eastAsia="zh-CN"/>
        </w:rPr>
      </w:pPr>
      <w:r>
        <w:rPr>
          <w:rFonts w:hint="eastAsia" w:ascii="宋体" w:hAnsi="宋体" w:eastAsia="方正仿宋_GBK"/>
          <w:bCs/>
          <w:color w:val="auto"/>
          <w:sz w:val="32"/>
          <w:szCs w:val="32"/>
          <w:highlight w:val="none"/>
        </w:rPr>
        <w:t>资格预审文件和招标文件</w:t>
      </w:r>
      <w:r>
        <w:rPr>
          <w:rFonts w:hint="eastAsia" w:ascii="宋体" w:hAnsi="宋体" w:eastAsia="方正仿宋_GBK"/>
          <w:color w:val="auto"/>
          <w:sz w:val="32"/>
          <w:szCs w:val="32"/>
          <w:highlight w:val="none"/>
        </w:rPr>
        <w:t>可设置信用评价分值3</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5分</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lang w:val="en-US" w:eastAsia="zh-CN"/>
        </w:rPr>
        <w:t>本条中的</w:t>
      </w:r>
      <w:r>
        <w:rPr>
          <w:rFonts w:ascii="宋体" w:hAnsi="宋体" w:eastAsia="方正仿宋_GBK"/>
          <w:color w:val="auto"/>
          <w:sz w:val="32"/>
          <w:szCs w:val="32"/>
          <w:highlight w:val="none"/>
        </w:rPr>
        <w:t>投标保证金</w:t>
      </w:r>
      <w:r>
        <w:rPr>
          <w:rFonts w:hint="eastAsia" w:ascii="宋体" w:hAnsi="宋体" w:eastAsia="方正仿宋_GBK"/>
          <w:color w:val="auto"/>
          <w:sz w:val="32"/>
          <w:szCs w:val="32"/>
          <w:highlight w:val="none"/>
          <w:lang w:val="en-US" w:eastAsia="zh-CN"/>
        </w:rPr>
        <w:t>和</w:t>
      </w:r>
      <w:r>
        <w:rPr>
          <w:rFonts w:hint="eastAsia" w:ascii="宋体" w:hAnsi="宋体" w:eastAsia="方正仿宋_GBK" w:cs="Times New Roman"/>
          <w:color w:val="auto"/>
          <w:sz w:val="32"/>
          <w:szCs w:val="32"/>
          <w:highlight w:val="none"/>
          <w:lang w:val="en-US" w:eastAsia="zh-CN"/>
        </w:rPr>
        <w:t>履约保证金先按执行国家、部、省相关规定的比例进行优惠或减免，再按本条的优惠或减免规定执行</w:t>
      </w:r>
      <w:r>
        <w:rPr>
          <w:rFonts w:hint="eastAsia" w:ascii="宋体" w:hAnsi="宋体" w:eastAsia="方正仿宋_GBK"/>
          <w:color w:val="auto"/>
          <w:sz w:val="32"/>
          <w:szCs w:val="32"/>
          <w:highlight w:val="none"/>
          <w:lang w:val="en-US" w:eastAsia="zh-CN"/>
        </w:rPr>
        <w:t>；</w:t>
      </w:r>
    </w:p>
    <w:p>
      <w:pPr>
        <w:widowControl/>
        <w:numPr>
          <w:ilvl w:val="0"/>
          <w:numId w:val="4"/>
        </w:numPr>
        <w:spacing w:line="560" w:lineRule="exact"/>
        <w:ind w:firstLine="640" w:firstLineChars="200"/>
        <w:rPr>
          <w:rFonts w:ascii="宋体" w:hAnsi="宋体" w:eastAsia="方正仿宋_GBK"/>
          <w:color w:val="auto"/>
          <w:sz w:val="32"/>
          <w:szCs w:val="32"/>
          <w:highlight w:val="none"/>
        </w:rPr>
      </w:pPr>
      <w:r>
        <w:rPr>
          <w:rFonts w:hint="eastAsia" w:ascii="宋体" w:hAnsi="宋体" w:eastAsia="方正仿宋_GBK" w:cs="Times New Roman"/>
          <w:color w:val="auto"/>
          <w:sz w:val="32"/>
          <w:szCs w:val="32"/>
          <w:highlight w:val="none"/>
          <w:lang w:val="en-US" w:eastAsia="zh-CN"/>
        </w:rPr>
        <w:t>信用评价等级为</w:t>
      </w:r>
      <w:r>
        <w:rPr>
          <w:rFonts w:hint="default" w:ascii="宋体" w:hAnsi="宋体" w:eastAsia="方正仿宋_GBK" w:cs="Times New Roman"/>
          <w:color w:val="auto"/>
          <w:sz w:val="32"/>
          <w:szCs w:val="32"/>
          <w:highlight w:val="none"/>
          <w:lang w:val="en-US" w:eastAsia="zh-CN"/>
        </w:rPr>
        <w:t>AA级和连续两年评为A级</w:t>
      </w:r>
      <w:r>
        <w:rPr>
          <w:rFonts w:hint="eastAsia" w:ascii="宋体" w:hAnsi="宋体" w:eastAsia="方正仿宋_GBK" w:cs="Times New Roman"/>
          <w:color w:val="auto"/>
          <w:sz w:val="32"/>
          <w:szCs w:val="32"/>
          <w:highlight w:val="none"/>
          <w:lang w:val="en-US" w:eastAsia="zh-CN"/>
        </w:rPr>
        <w:t>的设计企业和施工企业，信用评价分值为满分，</w:t>
      </w:r>
      <w:r>
        <w:rPr>
          <w:rFonts w:ascii="宋体" w:hAnsi="宋体" w:eastAsia="方正仿宋_GBK"/>
          <w:color w:val="auto"/>
          <w:sz w:val="32"/>
          <w:szCs w:val="32"/>
          <w:highlight w:val="none"/>
        </w:rPr>
        <w:t>对投标保证金给予</w:t>
      </w:r>
      <w:r>
        <w:rPr>
          <w:rFonts w:hint="eastAsia" w:ascii="宋体" w:hAnsi="宋体" w:eastAsia="方正仿宋_GBK"/>
          <w:color w:val="auto"/>
          <w:sz w:val="32"/>
          <w:szCs w:val="32"/>
          <w:highlight w:val="none"/>
        </w:rPr>
        <w:t>免除</w:t>
      </w:r>
      <w:r>
        <w:rPr>
          <w:rFonts w:hint="eastAsia" w:ascii="宋体" w:hAnsi="宋体" w:eastAsia="方正仿宋_GBK"/>
          <w:color w:val="auto"/>
          <w:sz w:val="32"/>
          <w:szCs w:val="32"/>
          <w:highlight w:val="none"/>
          <w:lang w:eastAsia="zh-CN"/>
        </w:rPr>
        <w:t>，</w:t>
      </w:r>
      <w:r>
        <w:rPr>
          <w:rFonts w:hint="eastAsia" w:ascii="宋体" w:hAnsi="宋体" w:eastAsia="方正仿宋_GBK" w:cs="Times New Roman"/>
          <w:color w:val="auto"/>
          <w:sz w:val="32"/>
          <w:szCs w:val="32"/>
          <w:highlight w:val="none"/>
          <w:lang w:val="en-US" w:eastAsia="zh-CN"/>
        </w:rPr>
        <w:t>履约保证金可最低按50%缴纳；</w:t>
      </w:r>
    </w:p>
    <w:p>
      <w:pPr>
        <w:widowControl/>
        <w:numPr>
          <w:ilvl w:val="0"/>
          <w:numId w:val="4"/>
        </w:numPr>
        <w:spacing w:line="560" w:lineRule="exact"/>
        <w:ind w:firstLine="640" w:firstLineChars="200"/>
        <w:rPr>
          <w:rFonts w:ascii="宋体" w:hAnsi="宋体" w:eastAsia="方正仿宋_GBK"/>
          <w:color w:val="auto"/>
          <w:sz w:val="32"/>
          <w:szCs w:val="32"/>
          <w:highlight w:val="none"/>
        </w:rPr>
      </w:pPr>
      <w:r>
        <w:rPr>
          <w:rFonts w:hint="eastAsia" w:ascii="宋体" w:hAnsi="宋体" w:eastAsia="方正仿宋_GBK" w:cs="Times New Roman"/>
          <w:color w:val="auto"/>
          <w:sz w:val="32"/>
          <w:szCs w:val="32"/>
          <w:highlight w:val="none"/>
          <w:lang w:val="en-US" w:eastAsia="zh-CN"/>
        </w:rPr>
        <w:t>信用评价等级为</w:t>
      </w:r>
      <w:r>
        <w:rPr>
          <w:rFonts w:hint="default" w:ascii="宋体" w:hAnsi="宋体" w:eastAsia="方正仿宋_GBK" w:cs="Times New Roman"/>
          <w:color w:val="auto"/>
          <w:sz w:val="32"/>
          <w:szCs w:val="32"/>
          <w:highlight w:val="none"/>
          <w:lang w:val="en-US" w:eastAsia="zh-CN"/>
        </w:rPr>
        <w:t>A级</w:t>
      </w:r>
      <w:r>
        <w:rPr>
          <w:rFonts w:hint="eastAsia" w:ascii="宋体" w:hAnsi="宋体" w:eastAsia="方正仿宋_GBK" w:cs="Times New Roman"/>
          <w:color w:val="auto"/>
          <w:sz w:val="32"/>
          <w:szCs w:val="32"/>
          <w:highlight w:val="none"/>
          <w:lang w:val="en-US" w:eastAsia="zh-CN"/>
        </w:rPr>
        <w:t>的设计企业和施工企业，信用评价分值为规定分值的80%，</w:t>
      </w:r>
      <w:r>
        <w:rPr>
          <w:rFonts w:ascii="宋体" w:hAnsi="宋体" w:eastAsia="方正仿宋_GBK"/>
          <w:color w:val="auto"/>
          <w:sz w:val="32"/>
          <w:szCs w:val="32"/>
          <w:highlight w:val="none"/>
        </w:rPr>
        <w:t>对投标保证金给予</w:t>
      </w:r>
      <w:r>
        <w:rPr>
          <w:rFonts w:hint="eastAsia" w:ascii="宋体" w:hAnsi="宋体" w:eastAsia="方正仿宋_GBK"/>
          <w:color w:val="auto"/>
          <w:sz w:val="32"/>
          <w:szCs w:val="32"/>
          <w:highlight w:val="none"/>
          <w:lang w:val="en-US" w:eastAsia="zh-CN"/>
        </w:rPr>
        <w:t>5</w:t>
      </w:r>
      <w:r>
        <w:rPr>
          <w:rFonts w:ascii="宋体" w:hAnsi="宋体" w:eastAsia="方正仿宋_GBK"/>
          <w:color w:val="auto"/>
          <w:sz w:val="32"/>
          <w:szCs w:val="32"/>
          <w:highlight w:val="none"/>
        </w:rPr>
        <w:t>0%优惠</w:t>
      </w:r>
      <w:r>
        <w:rPr>
          <w:rFonts w:hint="eastAsia" w:ascii="宋体" w:hAnsi="宋体" w:eastAsia="方正仿宋_GBK"/>
          <w:color w:val="auto"/>
          <w:sz w:val="32"/>
          <w:szCs w:val="32"/>
          <w:highlight w:val="none"/>
          <w:lang w:eastAsia="zh-CN"/>
        </w:rPr>
        <w:t>，</w:t>
      </w:r>
      <w:r>
        <w:rPr>
          <w:rFonts w:hint="eastAsia" w:ascii="宋体" w:hAnsi="宋体" w:eastAsia="方正仿宋_GBK" w:cs="Times New Roman"/>
          <w:color w:val="auto"/>
          <w:sz w:val="32"/>
          <w:szCs w:val="32"/>
          <w:highlight w:val="none"/>
          <w:lang w:val="en-US" w:eastAsia="zh-CN"/>
        </w:rPr>
        <w:t>履约保证金可最低按75%缴纳；</w:t>
      </w:r>
    </w:p>
    <w:p>
      <w:pPr>
        <w:widowControl/>
        <w:numPr>
          <w:ilvl w:val="0"/>
          <w:numId w:val="4"/>
        </w:numPr>
        <w:spacing w:line="560" w:lineRule="exact"/>
        <w:ind w:firstLine="640" w:firstLineChars="200"/>
        <w:rPr>
          <w:rFonts w:ascii="宋体" w:hAnsi="宋体" w:eastAsia="方正仿宋_GBK"/>
          <w:color w:val="auto"/>
          <w:sz w:val="32"/>
          <w:szCs w:val="32"/>
          <w:highlight w:val="none"/>
        </w:rPr>
      </w:pPr>
      <w:r>
        <w:rPr>
          <w:rFonts w:hint="eastAsia" w:ascii="宋体" w:hAnsi="宋体" w:eastAsia="方正仿宋_GBK" w:cs="Times New Roman"/>
          <w:color w:val="auto"/>
          <w:sz w:val="32"/>
          <w:szCs w:val="32"/>
          <w:highlight w:val="none"/>
          <w:lang w:val="en-US" w:eastAsia="zh-CN"/>
        </w:rPr>
        <w:t>信用评价等级为B</w:t>
      </w:r>
      <w:r>
        <w:rPr>
          <w:rFonts w:hint="default" w:ascii="宋体" w:hAnsi="宋体" w:eastAsia="方正仿宋_GBK" w:cs="Times New Roman"/>
          <w:color w:val="auto"/>
          <w:sz w:val="32"/>
          <w:szCs w:val="32"/>
          <w:highlight w:val="none"/>
          <w:lang w:val="en-US" w:eastAsia="zh-CN"/>
        </w:rPr>
        <w:t>级</w:t>
      </w:r>
      <w:r>
        <w:rPr>
          <w:rFonts w:hint="eastAsia" w:ascii="宋体" w:hAnsi="宋体" w:eastAsia="方正仿宋_GBK" w:cs="Times New Roman"/>
          <w:color w:val="auto"/>
          <w:sz w:val="32"/>
          <w:szCs w:val="32"/>
          <w:highlight w:val="none"/>
          <w:lang w:val="en-US" w:eastAsia="zh-CN"/>
        </w:rPr>
        <w:t>的设计企业和施工企业，信用评价分值为规定分值的60%，</w:t>
      </w:r>
      <w:r>
        <w:rPr>
          <w:rFonts w:ascii="宋体" w:hAnsi="宋体" w:eastAsia="方正仿宋_GBK"/>
          <w:color w:val="auto"/>
          <w:sz w:val="32"/>
          <w:szCs w:val="32"/>
          <w:highlight w:val="none"/>
        </w:rPr>
        <w:t>投标保证金</w:t>
      </w:r>
      <w:r>
        <w:rPr>
          <w:rFonts w:hint="eastAsia" w:ascii="宋体" w:hAnsi="宋体" w:eastAsia="方正仿宋_GBK"/>
          <w:color w:val="auto"/>
          <w:sz w:val="32"/>
          <w:szCs w:val="32"/>
          <w:highlight w:val="none"/>
          <w:lang w:val="en-US" w:eastAsia="zh-CN"/>
        </w:rPr>
        <w:t>和</w:t>
      </w:r>
      <w:r>
        <w:rPr>
          <w:rFonts w:hint="eastAsia" w:ascii="宋体" w:hAnsi="宋体" w:eastAsia="方正仿宋_GBK" w:cs="Times New Roman"/>
          <w:color w:val="auto"/>
          <w:sz w:val="32"/>
          <w:szCs w:val="32"/>
          <w:highlight w:val="none"/>
          <w:lang w:val="en-US" w:eastAsia="zh-CN"/>
        </w:rPr>
        <w:t>履约保证金无优惠；</w:t>
      </w:r>
    </w:p>
    <w:p>
      <w:pPr>
        <w:widowControl/>
        <w:numPr>
          <w:ilvl w:val="0"/>
          <w:numId w:val="4"/>
        </w:numPr>
        <w:spacing w:line="560" w:lineRule="exact"/>
        <w:ind w:firstLine="640" w:firstLineChars="200"/>
        <w:rPr>
          <w:rFonts w:ascii="宋体" w:hAnsi="宋体" w:eastAsia="方正仿宋_GBK"/>
          <w:color w:val="auto"/>
          <w:sz w:val="32"/>
          <w:szCs w:val="32"/>
          <w:highlight w:val="none"/>
        </w:rPr>
      </w:pPr>
      <w:r>
        <w:rPr>
          <w:rFonts w:hint="eastAsia" w:ascii="宋体" w:hAnsi="宋体" w:eastAsia="方正仿宋_GBK" w:cs="Times New Roman"/>
          <w:color w:val="auto"/>
          <w:sz w:val="32"/>
          <w:szCs w:val="32"/>
          <w:highlight w:val="none"/>
          <w:lang w:val="en-US" w:eastAsia="zh-CN"/>
        </w:rPr>
        <w:t>信用评价等级为C级或D级的设计企业和施工企业，信用评价分值为0分，</w:t>
      </w:r>
      <w:r>
        <w:rPr>
          <w:rFonts w:ascii="宋体" w:hAnsi="宋体" w:eastAsia="方正仿宋_GBK"/>
          <w:color w:val="auto"/>
          <w:sz w:val="32"/>
          <w:szCs w:val="32"/>
          <w:highlight w:val="none"/>
        </w:rPr>
        <w:t>投标保证金</w:t>
      </w:r>
      <w:r>
        <w:rPr>
          <w:rFonts w:hint="eastAsia" w:ascii="宋体" w:hAnsi="宋体" w:eastAsia="方正仿宋_GBK"/>
          <w:color w:val="auto"/>
          <w:sz w:val="32"/>
          <w:szCs w:val="32"/>
          <w:highlight w:val="none"/>
          <w:lang w:val="en-US" w:eastAsia="zh-CN"/>
        </w:rPr>
        <w:t>和</w:t>
      </w:r>
      <w:r>
        <w:rPr>
          <w:rFonts w:hint="eastAsia" w:ascii="宋体" w:hAnsi="宋体" w:eastAsia="方正仿宋_GBK" w:cs="Times New Roman"/>
          <w:color w:val="auto"/>
          <w:sz w:val="32"/>
          <w:szCs w:val="32"/>
          <w:highlight w:val="none"/>
          <w:lang w:val="en-US" w:eastAsia="zh-CN"/>
        </w:rPr>
        <w:t>履约保证金无优惠。</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对信用评价等级为C级或D级的企业，在日常监管中列为重点监管对象，增加检查频次，对其履约行为进行重点监管。</w:t>
      </w:r>
    </w:p>
    <w:p>
      <w:pPr>
        <w:widowControl/>
        <w:spacing w:line="560" w:lineRule="exact"/>
        <w:jc w:val="center"/>
        <w:rPr>
          <w:rFonts w:hint="eastAsia" w:eastAsia="黑体"/>
          <w:bCs/>
          <w:snapToGrid w:val="0"/>
          <w:color w:val="auto"/>
          <w:sz w:val="32"/>
          <w:szCs w:val="32"/>
          <w:highlight w:val="none"/>
        </w:rPr>
      </w:pPr>
    </w:p>
    <w:p>
      <w:pPr>
        <w:widowControl/>
        <w:spacing w:line="560" w:lineRule="exact"/>
        <w:jc w:val="center"/>
        <w:rPr>
          <w:rFonts w:hint="eastAsia" w:eastAsia="黑体"/>
          <w:bCs/>
          <w:snapToGrid w:val="0"/>
          <w:color w:val="auto"/>
          <w:sz w:val="32"/>
          <w:szCs w:val="32"/>
          <w:highlight w:val="none"/>
        </w:rPr>
      </w:pPr>
      <w:r>
        <w:rPr>
          <w:rFonts w:hint="eastAsia" w:eastAsia="黑体"/>
          <w:bCs/>
          <w:snapToGrid w:val="0"/>
          <w:color w:val="auto"/>
          <w:sz w:val="32"/>
          <w:szCs w:val="32"/>
          <w:highlight w:val="none"/>
        </w:rPr>
        <w:t>第六章</w:t>
      </w:r>
      <w:r>
        <w:rPr>
          <w:rFonts w:eastAsia="黑体"/>
          <w:bCs/>
          <w:snapToGrid w:val="0"/>
          <w:color w:val="auto"/>
          <w:sz w:val="32"/>
          <w:szCs w:val="32"/>
          <w:highlight w:val="none"/>
        </w:rPr>
        <w:t xml:space="preserve">  </w:t>
      </w:r>
      <w:r>
        <w:rPr>
          <w:rFonts w:hint="eastAsia" w:eastAsia="黑体"/>
          <w:bCs/>
          <w:snapToGrid w:val="0"/>
          <w:color w:val="auto"/>
          <w:sz w:val="32"/>
          <w:szCs w:val="32"/>
          <w:highlight w:val="none"/>
          <w:lang w:eastAsia="zh-Hans"/>
        </w:rPr>
        <w:t>信用等级</w:t>
      </w:r>
      <w:r>
        <w:rPr>
          <w:rFonts w:hint="eastAsia" w:eastAsia="黑体"/>
          <w:bCs/>
          <w:snapToGrid w:val="0"/>
          <w:color w:val="auto"/>
          <w:sz w:val="32"/>
          <w:szCs w:val="32"/>
          <w:highlight w:val="none"/>
        </w:rPr>
        <w:t>动态调整</w:t>
      </w:r>
    </w:p>
    <w:p>
      <w:pPr>
        <w:pStyle w:val="2"/>
        <w:rPr>
          <w:rFonts w:hint="eastAsia"/>
          <w:highlight w:val="none"/>
          <w:lang w:eastAsia="zh-Hans"/>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水运工程建设项目发生生产安全事故的</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事故调查期间</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施工企业信用等级按照以下原则予以暂时性动态降级调整</w:t>
      </w:r>
      <w:r>
        <w:rPr>
          <w:rFonts w:hint="eastAsia" w:ascii="宋体" w:hAnsi="宋体" w:eastAsia="方正仿宋_GBK"/>
          <w:color w:val="auto"/>
          <w:sz w:val="32"/>
          <w:szCs w:val="32"/>
          <w:highlight w:val="none"/>
          <w:lang w:eastAsia="zh-CN"/>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lang w:eastAsia="zh-CN"/>
        </w:rPr>
      </w:pPr>
      <w:r>
        <w:rPr>
          <w:rFonts w:hint="eastAsia" w:ascii="宋体" w:hAnsi="宋体" w:eastAsia="方正仿宋_GBK"/>
          <w:color w:val="auto"/>
          <w:sz w:val="32"/>
          <w:szCs w:val="32"/>
          <w:highlight w:val="none"/>
        </w:rPr>
        <w:t>(一)发生一般生产安全事故</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信用等级下调一级</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调整时限为 60 天</w:t>
      </w:r>
      <w:r>
        <w:rPr>
          <w:rFonts w:hint="eastAsia" w:ascii="宋体" w:hAnsi="宋体" w:eastAsia="方正仿宋_GBK"/>
          <w:color w:val="auto"/>
          <w:sz w:val="32"/>
          <w:szCs w:val="32"/>
          <w:highlight w:val="none"/>
          <w:lang w:val="en-US" w:eastAsia="zh-CN"/>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(二)发生较大生产安全事故的，原信用等级高于B级的调整为B级</w:t>
      </w:r>
      <w:r>
        <w:rPr>
          <w:rFonts w:hint="eastAsia" w:ascii="宋体" w:hAnsi="宋体" w:eastAsia="方正仿宋_GBK"/>
          <w:color w:val="auto"/>
          <w:sz w:val="32"/>
          <w:szCs w:val="32"/>
          <w:highlight w:val="none"/>
          <w:lang w:val="en-US" w:eastAsia="zh-CN"/>
        </w:rPr>
        <w:t>；</w:t>
      </w:r>
      <w:r>
        <w:rPr>
          <w:rFonts w:hint="eastAsia" w:ascii="宋体" w:hAnsi="宋体" w:eastAsia="方正仿宋_GBK"/>
          <w:color w:val="auto"/>
          <w:sz w:val="32"/>
          <w:szCs w:val="32"/>
          <w:highlight w:val="none"/>
        </w:rPr>
        <w:t>原信用等级为B级及以下的</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调整为下一级信用等级</w:t>
      </w:r>
      <w:r>
        <w:rPr>
          <w:rFonts w:hint="eastAsia" w:ascii="宋体" w:hAnsi="宋体" w:eastAsia="方正仿宋_GBK"/>
          <w:color w:val="auto"/>
          <w:sz w:val="32"/>
          <w:szCs w:val="32"/>
          <w:highlight w:val="none"/>
          <w:lang w:val="en-US" w:eastAsia="zh-CN"/>
        </w:rPr>
        <w:t>；</w:t>
      </w:r>
      <w:r>
        <w:rPr>
          <w:rFonts w:hint="eastAsia" w:ascii="宋体" w:hAnsi="宋体" w:eastAsia="方正仿宋_GBK"/>
          <w:color w:val="auto"/>
          <w:sz w:val="32"/>
          <w:szCs w:val="32"/>
          <w:highlight w:val="none"/>
        </w:rPr>
        <w:t>调整时限为 90天</w:t>
      </w:r>
      <w:r>
        <w:rPr>
          <w:rFonts w:hint="eastAsia" w:ascii="宋体" w:hAnsi="宋体" w:eastAsia="方正仿宋_GBK"/>
          <w:color w:val="auto"/>
          <w:sz w:val="32"/>
          <w:szCs w:val="32"/>
          <w:highlight w:val="none"/>
          <w:lang w:val="en-US" w:eastAsia="zh-CN"/>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lang w:eastAsia="zh-CN"/>
        </w:rPr>
      </w:pPr>
      <w:r>
        <w:rPr>
          <w:rFonts w:hint="eastAsia" w:ascii="宋体" w:hAnsi="宋体" w:eastAsia="方正仿宋_GBK"/>
          <w:color w:val="auto"/>
          <w:sz w:val="32"/>
          <w:szCs w:val="32"/>
          <w:highlight w:val="none"/>
        </w:rPr>
        <w:t>(三)发生重大或者特别重大生产安全事故的，原信用等级高于C级的</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调整为C级</w:t>
      </w:r>
      <w:r>
        <w:rPr>
          <w:rFonts w:hint="eastAsia" w:ascii="宋体" w:hAnsi="宋体" w:eastAsia="方正仿宋_GBK"/>
          <w:color w:val="auto"/>
          <w:sz w:val="32"/>
          <w:szCs w:val="32"/>
          <w:highlight w:val="none"/>
          <w:lang w:val="en-US" w:eastAsia="zh-CN"/>
        </w:rPr>
        <w:t>；</w:t>
      </w:r>
      <w:r>
        <w:rPr>
          <w:rFonts w:hint="eastAsia" w:ascii="宋体" w:hAnsi="宋体" w:eastAsia="方正仿宋_GBK"/>
          <w:color w:val="auto"/>
          <w:sz w:val="32"/>
          <w:szCs w:val="32"/>
          <w:highlight w:val="none"/>
        </w:rPr>
        <w:t>原信用等级为C级或者D级的</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调整为 D 级</w:t>
      </w:r>
      <w:r>
        <w:rPr>
          <w:rFonts w:hint="eastAsia" w:ascii="宋体" w:hAnsi="宋体" w:eastAsia="方正仿宋_GBK"/>
          <w:color w:val="auto"/>
          <w:sz w:val="32"/>
          <w:szCs w:val="32"/>
          <w:highlight w:val="none"/>
          <w:lang w:val="en-US" w:eastAsia="zh-CN"/>
        </w:rPr>
        <w:t>；</w:t>
      </w:r>
      <w:r>
        <w:rPr>
          <w:rFonts w:hint="eastAsia" w:ascii="宋体" w:hAnsi="宋体" w:eastAsia="方正仿宋_GBK"/>
          <w:color w:val="auto"/>
          <w:sz w:val="32"/>
          <w:szCs w:val="32"/>
          <w:highlight w:val="none"/>
        </w:rPr>
        <w:t>调整时限为 120 天</w:t>
      </w:r>
      <w:r>
        <w:rPr>
          <w:rFonts w:hint="eastAsia" w:ascii="宋体" w:hAnsi="宋体" w:eastAsia="方正仿宋_GBK"/>
          <w:color w:val="auto"/>
          <w:sz w:val="32"/>
          <w:szCs w:val="32"/>
          <w:highlight w:val="none"/>
          <w:lang w:eastAsia="zh-CN"/>
        </w:rPr>
        <w:t>。</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lang w:eastAsia="zh-CN"/>
        </w:rPr>
      </w:pPr>
      <w:r>
        <w:rPr>
          <w:rFonts w:hint="eastAsia" w:ascii="宋体" w:hAnsi="宋体" w:eastAsia="方正仿宋_GBK"/>
          <w:color w:val="auto"/>
          <w:sz w:val="32"/>
          <w:szCs w:val="32"/>
          <w:highlight w:val="none"/>
        </w:rPr>
        <w:t>事故调查结束后</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根据责任认定情况重新确定施工企业信用等级</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调整时限到期后事故调查仍未结束的</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rPr>
        <w:t>交通运输主管部门应当结合事故调查情况</w:t>
      </w:r>
      <w:r>
        <w:rPr>
          <w:rFonts w:hint="eastAsia" w:ascii="宋体" w:hAnsi="宋体" w:eastAsia="方正仿宋_GBK"/>
          <w:color w:val="auto"/>
          <w:sz w:val="32"/>
          <w:szCs w:val="32"/>
          <w:highlight w:val="none"/>
          <w:lang w:eastAsia="zh-CN"/>
        </w:rPr>
        <w:t>，</w:t>
      </w:r>
      <w:r>
        <w:rPr>
          <w:rFonts w:hint="eastAsia" w:ascii="宋体" w:hAnsi="宋体" w:eastAsia="方正仿宋_GBK"/>
          <w:color w:val="auto"/>
          <w:sz w:val="32"/>
          <w:szCs w:val="32"/>
          <w:highlight w:val="none"/>
          <w:lang w:val="en-US" w:eastAsia="zh-CN"/>
        </w:rPr>
        <w:t>同</w:t>
      </w:r>
      <w:r>
        <w:rPr>
          <w:rFonts w:hint="eastAsia" w:ascii="宋体" w:hAnsi="宋体" w:eastAsia="方正仿宋_GBK"/>
          <w:color w:val="auto"/>
          <w:sz w:val="32"/>
          <w:szCs w:val="32"/>
          <w:highlight w:val="none"/>
        </w:rPr>
        <w:t>步延长调整时限</w:t>
      </w:r>
      <w:r>
        <w:rPr>
          <w:rFonts w:hint="eastAsia" w:ascii="宋体" w:hAnsi="宋体" w:eastAsia="方正仿宋_GBK"/>
          <w:color w:val="auto"/>
          <w:sz w:val="32"/>
          <w:szCs w:val="32"/>
          <w:highlight w:val="none"/>
          <w:lang w:eastAsia="zh-CN"/>
        </w:rPr>
        <w:t>。</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信用等级恢复按“谁认定，谁验收”的原则进行。信用等级</w:t>
      </w:r>
      <w:bookmarkStart w:id="9" w:name="_Hlk180226515"/>
      <w:r>
        <w:rPr>
          <w:rFonts w:hint="eastAsia" w:ascii="宋体" w:hAnsi="宋体" w:eastAsia="方正仿宋_GBK"/>
          <w:color w:val="auto"/>
          <w:sz w:val="32"/>
          <w:szCs w:val="32"/>
          <w:highlight w:val="none"/>
        </w:rPr>
        <w:t>D级的企业，在D级期满后</w:t>
      </w:r>
      <w:bookmarkEnd w:id="9"/>
      <w:r>
        <w:rPr>
          <w:rFonts w:hint="eastAsia" w:ascii="宋体" w:hAnsi="宋体" w:eastAsia="方正仿宋_GBK"/>
          <w:color w:val="auto"/>
          <w:sz w:val="32"/>
          <w:szCs w:val="32"/>
          <w:highlight w:val="none"/>
        </w:rPr>
        <w:t>，企业提出申请，由认定的交通</w:t>
      </w:r>
      <w:r>
        <w:rPr>
          <w:rFonts w:hint="eastAsia" w:ascii="宋体" w:hAnsi="宋体" w:eastAsia="方正仿宋_GBK"/>
          <w:color w:val="auto"/>
          <w:sz w:val="32"/>
          <w:szCs w:val="32"/>
          <w:highlight w:val="none"/>
          <w:lang w:eastAsia="zh-CN"/>
        </w:rPr>
        <w:t>运输</w:t>
      </w:r>
      <w:r>
        <w:rPr>
          <w:rFonts w:hint="eastAsia" w:ascii="宋体" w:hAnsi="宋体" w:eastAsia="方正仿宋_GBK"/>
          <w:color w:val="auto"/>
          <w:sz w:val="32"/>
          <w:szCs w:val="32"/>
          <w:highlight w:val="none"/>
        </w:rPr>
        <w:t>主管部门对其失信行为整改情况和不良影响消除情况进行验收，验收合格后出具意见并逐级向上级报告；</w:t>
      </w:r>
      <w:r>
        <w:rPr>
          <w:rFonts w:hint="eastAsia" w:ascii="宋体" w:hAnsi="宋体" w:eastAsia="方正仿宋_GBK"/>
          <w:color w:val="auto"/>
          <w:sz w:val="32"/>
          <w:szCs w:val="32"/>
          <w:highlight w:val="none"/>
          <w:lang w:eastAsia="zh-CN"/>
        </w:rPr>
        <w:t>省航务管理局</w:t>
      </w:r>
      <w:r>
        <w:rPr>
          <w:rFonts w:hint="eastAsia" w:ascii="宋体" w:hAnsi="宋体" w:eastAsia="方正仿宋_GBK"/>
          <w:color w:val="auto"/>
          <w:sz w:val="32"/>
          <w:szCs w:val="32"/>
          <w:highlight w:val="none"/>
        </w:rPr>
        <w:t>审核确认后，</w:t>
      </w:r>
      <w:r>
        <w:rPr>
          <w:rFonts w:hint="eastAsia" w:ascii="宋体" w:hAnsi="宋体" w:eastAsia="方正仿宋_GBK"/>
          <w:color w:val="auto"/>
          <w:sz w:val="32"/>
          <w:szCs w:val="32"/>
          <w:highlight w:val="none"/>
          <w:lang w:val="en-US" w:eastAsia="zh-CN"/>
        </w:rPr>
        <w:t>报请</w:t>
      </w:r>
      <w:r>
        <w:rPr>
          <w:rFonts w:hint="eastAsia" w:ascii="宋体" w:hAnsi="宋体" w:eastAsia="方正仿宋_GBK"/>
          <w:color w:val="auto"/>
          <w:sz w:val="32"/>
          <w:szCs w:val="32"/>
          <w:highlight w:val="none"/>
        </w:rPr>
        <w:t>省交通运输厅做出信用恢复决定，在省交通运输厅、“信用交通·云南”、</w:t>
      </w:r>
      <w:r>
        <w:rPr>
          <w:rFonts w:hint="eastAsia" w:ascii="宋体" w:hAnsi="宋体" w:eastAsia="方正仿宋_GBK"/>
          <w:color w:val="auto"/>
          <w:sz w:val="32"/>
          <w:szCs w:val="32"/>
          <w:highlight w:val="none"/>
          <w:lang w:eastAsia="zh-CN"/>
        </w:rPr>
        <w:t>省航务管理局</w:t>
      </w:r>
      <w:r>
        <w:rPr>
          <w:rFonts w:hint="eastAsia" w:ascii="宋体" w:hAnsi="宋体" w:eastAsia="方正仿宋_GBK"/>
          <w:color w:val="auto"/>
          <w:sz w:val="32"/>
          <w:szCs w:val="32"/>
          <w:highlight w:val="none"/>
        </w:rPr>
        <w:t>网站上公布，同时相关失信信息公示及时停止。</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bookmarkStart w:id="10" w:name="OLE_LINK62"/>
      <w:r>
        <w:rPr>
          <w:rFonts w:hint="eastAsia" w:ascii="宋体" w:hAnsi="宋体" w:eastAsia="方正仿宋_GBK"/>
          <w:color w:val="auto"/>
          <w:sz w:val="32"/>
          <w:szCs w:val="32"/>
          <w:highlight w:val="none"/>
        </w:rPr>
        <w:t>信用等级D级的企业在信用恢复后信用评价等级按以下方式确定</w:t>
      </w:r>
      <w:bookmarkEnd w:id="10"/>
      <w:r>
        <w:rPr>
          <w:rFonts w:hint="eastAsia" w:ascii="宋体" w:hAnsi="宋体" w:eastAsia="方正仿宋_GBK"/>
          <w:color w:val="auto"/>
          <w:sz w:val="32"/>
          <w:szCs w:val="32"/>
          <w:highlight w:val="none"/>
        </w:rPr>
        <w:t>：</w:t>
      </w:r>
    </w:p>
    <w:p>
      <w:pPr>
        <w:adjustRightInd w:val="0"/>
        <w:snapToGrid w:val="0"/>
        <w:spacing w:line="600" w:lineRule="exact"/>
        <w:ind w:firstLine="640" w:firstLineChars="200"/>
        <w:rPr>
          <w:rFonts w:ascii="宋体" w:hAnsi="宋体" w:eastAsia="方正仿宋_GBK"/>
          <w:color w:val="auto"/>
          <w:sz w:val="32"/>
          <w:szCs w:val="32"/>
          <w:highlight w:val="none"/>
        </w:rPr>
      </w:pPr>
      <w:r>
        <w:rPr>
          <w:rFonts w:hint="eastAsia" w:ascii="宋体" w:hAnsi="宋体" w:eastAsia="方正仿宋_GBK"/>
          <w:color w:val="auto"/>
          <w:sz w:val="32"/>
          <w:szCs w:val="32"/>
          <w:highlight w:val="none"/>
        </w:rPr>
        <w:t>在</w:t>
      </w:r>
      <w:r>
        <w:rPr>
          <w:rFonts w:ascii="宋体" w:hAnsi="宋体" w:eastAsia="方正仿宋_GBK"/>
          <w:color w:val="auto"/>
          <w:sz w:val="32"/>
          <w:szCs w:val="32"/>
          <w:highlight w:val="none"/>
        </w:rPr>
        <w:t>D</w:t>
      </w:r>
      <w:r>
        <w:rPr>
          <w:rFonts w:hint="eastAsia" w:ascii="宋体" w:hAnsi="宋体" w:eastAsia="方正仿宋_GBK"/>
          <w:color w:val="auto"/>
          <w:sz w:val="32"/>
          <w:szCs w:val="32"/>
          <w:highlight w:val="none"/>
        </w:rPr>
        <w:t>级期间，从业单位在云南省水运在建项目中未新出现被直接定为</w:t>
      </w:r>
      <w:r>
        <w:rPr>
          <w:rFonts w:ascii="宋体" w:hAnsi="宋体" w:eastAsia="方正仿宋_GBK"/>
          <w:color w:val="auto"/>
          <w:sz w:val="32"/>
          <w:szCs w:val="32"/>
          <w:highlight w:val="none"/>
        </w:rPr>
        <w:t>D</w:t>
      </w:r>
      <w:r>
        <w:rPr>
          <w:rFonts w:hint="eastAsia" w:ascii="宋体" w:hAnsi="宋体" w:eastAsia="方正仿宋_GBK"/>
          <w:color w:val="auto"/>
          <w:sz w:val="32"/>
          <w:szCs w:val="32"/>
          <w:highlight w:val="none"/>
        </w:rPr>
        <w:t>级的，</w:t>
      </w:r>
      <w:bookmarkStart w:id="11" w:name="_Hlk180226555"/>
      <w:r>
        <w:rPr>
          <w:rFonts w:ascii="宋体" w:hAnsi="宋体" w:eastAsia="方正仿宋_GBK"/>
          <w:color w:val="auto"/>
          <w:sz w:val="32"/>
          <w:szCs w:val="32"/>
          <w:highlight w:val="none"/>
        </w:rPr>
        <w:t>D</w:t>
      </w:r>
      <w:r>
        <w:rPr>
          <w:rFonts w:hint="eastAsia" w:ascii="宋体" w:hAnsi="宋体" w:eastAsia="方正仿宋_GBK"/>
          <w:color w:val="auto"/>
          <w:sz w:val="32"/>
          <w:szCs w:val="32"/>
          <w:highlight w:val="none"/>
        </w:rPr>
        <w:t>级期满后</w:t>
      </w:r>
      <w:r>
        <w:rPr>
          <w:rFonts w:ascii="宋体" w:hAnsi="宋体" w:eastAsia="方正仿宋_GBK"/>
          <w:color w:val="auto"/>
          <w:sz w:val="32"/>
          <w:szCs w:val="32"/>
          <w:highlight w:val="none"/>
        </w:rPr>
        <w:t>1</w:t>
      </w:r>
      <w:r>
        <w:rPr>
          <w:rFonts w:hint="eastAsia" w:ascii="宋体" w:hAnsi="宋体" w:eastAsia="方正仿宋_GBK"/>
          <w:color w:val="auto"/>
          <w:sz w:val="32"/>
          <w:szCs w:val="32"/>
          <w:highlight w:val="none"/>
        </w:rPr>
        <w:t>年内信用评价等级</w:t>
      </w:r>
      <w:bookmarkEnd w:id="11"/>
      <w:r>
        <w:rPr>
          <w:rFonts w:hint="eastAsia" w:ascii="宋体" w:hAnsi="宋体" w:eastAsia="方正仿宋_GBK"/>
          <w:color w:val="auto"/>
          <w:sz w:val="32"/>
          <w:szCs w:val="32"/>
          <w:highlight w:val="none"/>
        </w:rPr>
        <w:t>定为</w:t>
      </w:r>
      <w:r>
        <w:rPr>
          <w:rFonts w:ascii="宋体" w:hAnsi="宋体" w:eastAsia="方正仿宋_GBK"/>
          <w:color w:val="auto"/>
          <w:sz w:val="32"/>
          <w:szCs w:val="32"/>
          <w:highlight w:val="none"/>
        </w:rPr>
        <w:t>C级；从业单位在云南省</w:t>
      </w:r>
      <w:r>
        <w:rPr>
          <w:rFonts w:hint="eastAsia" w:ascii="宋体" w:hAnsi="宋体" w:eastAsia="方正仿宋_GBK"/>
          <w:color w:val="auto"/>
          <w:sz w:val="32"/>
          <w:szCs w:val="32"/>
          <w:highlight w:val="none"/>
        </w:rPr>
        <w:t>水运</w:t>
      </w:r>
      <w:r>
        <w:rPr>
          <w:rFonts w:ascii="宋体" w:hAnsi="宋体" w:eastAsia="方正仿宋_GBK"/>
          <w:color w:val="auto"/>
          <w:sz w:val="32"/>
          <w:szCs w:val="32"/>
          <w:highlight w:val="none"/>
        </w:rPr>
        <w:t>在建项目中未新出现被直接定为D</w:t>
      </w:r>
      <w:r>
        <w:rPr>
          <w:rFonts w:hint="eastAsia" w:ascii="宋体" w:hAnsi="宋体" w:eastAsia="方正仿宋_GBK"/>
          <w:color w:val="auto"/>
          <w:sz w:val="32"/>
          <w:szCs w:val="32"/>
          <w:highlight w:val="none"/>
        </w:rPr>
        <w:t>级，但</w:t>
      </w:r>
      <w:r>
        <w:rPr>
          <w:rFonts w:ascii="宋体" w:hAnsi="宋体" w:eastAsia="方正仿宋_GBK"/>
          <w:color w:val="auto"/>
          <w:sz w:val="32"/>
          <w:szCs w:val="32"/>
          <w:highlight w:val="none"/>
        </w:rPr>
        <w:t>1</w:t>
      </w:r>
      <w:r>
        <w:rPr>
          <w:rFonts w:hint="eastAsia" w:ascii="宋体" w:hAnsi="宋体" w:eastAsia="方正仿宋_GBK"/>
          <w:color w:val="auto"/>
          <w:sz w:val="32"/>
          <w:szCs w:val="32"/>
          <w:highlight w:val="none"/>
        </w:rPr>
        <w:t>年内发生了</w:t>
      </w:r>
      <w:r>
        <w:rPr>
          <w:rFonts w:ascii="宋体" w:hAnsi="宋体" w:eastAsia="方正仿宋_GBK"/>
          <w:color w:val="auto"/>
          <w:sz w:val="32"/>
          <w:szCs w:val="32"/>
          <w:highlight w:val="none"/>
        </w:rPr>
        <w:t>2</w:t>
      </w:r>
      <w:r>
        <w:rPr>
          <w:rFonts w:hint="eastAsia" w:ascii="宋体" w:hAnsi="宋体" w:eastAsia="方正仿宋_GBK"/>
          <w:color w:val="auto"/>
          <w:sz w:val="32"/>
          <w:szCs w:val="32"/>
          <w:highlight w:val="none"/>
        </w:rPr>
        <w:t>起及以上较大安全责任事故的，</w:t>
      </w:r>
      <w:r>
        <w:rPr>
          <w:rFonts w:ascii="宋体" w:hAnsi="宋体" w:eastAsia="方正仿宋_GBK"/>
          <w:color w:val="auto"/>
          <w:sz w:val="32"/>
          <w:szCs w:val="32"/>
          <w:highlight w:val="none"/>
        </w:rPr>
        <w:t>D</w:t>
      </w:r>
      <w:r>
        <w:rPr>
          <w:rFonts w:hint="eastAsia" w:ascii="宋体" w:hAnsi="宋体" w:eastAsia="方正仿宋_GBK"/>
          <w:color w:val="auto"/>
          <w:sz w:val="32"/>
          <w:szCs w:val="32"/>
          <w:highlight w:val="none"/>
        </w:rPr>
        <w:t>级期满后的</w:t>
      </w:r>
      <w:r>
        <w:rPr>
          <w:rFonts w:ascii="宋体" w:hAnsi="宋体" w:eastAsia="方正仿宋_GBK"/>
          <w:color w:val="auto"/>
          <w:sz w:val="32"/>
          <w:szCs w:val="32"/>
          <w:highlight w:val="none"/>
        </w:rPr>
        <w:t>2年内信用评价等级定为D级；从业单位在云南省</w:t>
      </w:r>
      <w:r>
        <w:rPr>
          <w:rFonts w:hint="eastAsia" w:ascii="宋体" w:hAnsi="宋体" w:eastAsia="方正仿宋_GBK"/>
          <w:color w:val="auto"/>
          <w:sz w:val="32"/>
          <w:szCs w:val="32"/>
          <w:highlight w:val="none"/>
        </w:rPr>
        <w:t>水运</w:t>
      </w:r>
      <w:r>
        <w:rPr>
          <w:rFonts w:ascii="宋体" w:hAnsi="宋体" w:eastAsia="方正仿宋_GBK"/>
          <w:color w:val="auto"/>
          <w:sz w:val="32"/>
          <w:szCs w:val="32"/>
          <w:highlight w:val="none"/>
        </w:rPr>
        <w:t>在建项目中有新出现被直接定为D</w:t>
      </w:r>
      <w:r>
        <w:rPr>
          <w:rFonts w:hint="eastAsia" w:ascii="宋体" w:hAnsi="宋体" w:eastAsia="方正仿宋_GBK"/>
          <w:color w:val="auto"/>
          <w:sz w:val="32"/>
          <w:szCs w:val="32"/>
          <w:highlight w:val="none"/>
        </w:rPr>
        <w:t>级的，</w:t>
      </w:r>
      <w:r>
        <w:rPr>
          <w:rFonts w:ascii="宋体" w:hAnsi="宋体" w:eastAsia="方正仿宋_GBK"/>
          <w:color w:val="auto"/>
          <w:sz w:val="32"/>
          <w:szCs w:val="32"/>
          <w:highlight w:val="none"/>
        </w:rPr>
        <w:t>D</w:t>
      </w:r>
      <w:r>
        <w:rPr>
          <w:rFonts w:hint="eastAsia" w:ascii="宋体" w:hAnsi="宋体" w:eastAsia="方正仿宋_GBK"/>
          <w:color w:val="auto"/>
          <w:sz w:val="32"/>
          <w:szCs w:val="32"/>
          <w:highlight w:val="none"/>
        </w:rPr>
        <w:t>级期满后的</w:t>
      </w:r>
      <w:r>
        <w:rPr>
          <w:rFonts w:ascii="宋体" w:hAnsi="宋体" w:eastAsia="方正仿宋_GBK"/>
          <w:color w:val="auto"/>
          <w:sz w:val="32"/>
          <w:szCs w:val="32"/>
          <w:highlight w:val="none"/>
        </w:rPr>
        <w:t>3</w:t>
      </w:r>
      <w:r>
        <w:rPr>
          <w:rFonts w:hint="eastAsia" w:ascii="宋体" w:hAnsi="宋体" w:eastAsia="方正仿宋_GBK"/>
          <w:color w:val="auto"/>
          <w:sz w:val="32"/>
          <w:szCs w:val="32"/>
          <w:highlight w:val="none"/>
        </w:rPr>
        <w:t>年内信用评价等级定为</w:t>
      </w:r>
      <w:r>
        <w:rPr>
          <w:rFonts w:ascii="宋体" w:hAnsi="宋体" w:eastAsia="方正仿宋_GBK"/>
          <w:color w:val="auto"/>
          <w:sz w:val="32"/>
          <w:szCs w:val="32"/>
          <w:highlight w:val="none"/>
        </w:rPr>
        <w:t>D级。</w:t>
      </w:r>
    </w:p>
    <w:p>
      <w:pPr>
        <w:adjustRightInd w:val="0"/>
        <w:snapToGrid w:val="0"/>
        <w:spacing w:line="600" w:lineRule="exact"/>
        <w:ind w:firstLine="640" w:firstLineChars="200"/>
        <w:rPr>
          <w:rFonts w:hint="eastAsia" w:ascii="宋体" w:hAnsi="宋体" w:eastAsia="方正仿宋_GBK"/>
          <w:color w:val="auto"/>
          <w:sz w:val="32"/>
          <w:szCs w:val="32"/>
          <w:highlight w:val="none"/>
        </w:rPr>
      </w:pPr>
      <w:r>
        <w:rPr>
          <w:rFonts w:ascii="宋体" w:hAnsi="宋体" w:eastAsia="方正仿宋_GBK"/>
          <w:color w:val="auto"/>
          <w:sz w:val="32"/>
          <w:szCs w:val="32"/>
          <w:highlight w:val="none"/>
        </w:rPr>
        <w:t>C</w:t>
      </w:r>
      <w:r>
        <w:rPr>
          <w:rFonts w:hint="eastAsia" w:ascii="宋体" w:hAnsi="宋体" w:eastAsia="方正仿宋_GBK"/>
          <w:color w:val="auto"/>
          <w:sz w:val="32"/>
          <w:szCs w:val="32"/>
          <w:highlight w:val="none"/>
        </w:rPr>
        <w:t>级</w:t>
      </w:r>
      <w:r>
        <w:rPr>
          <w:rFonts w:ascii="宋体" w:hAnsi="宋体" w:eastAsia="方正仿宋_GBK"/>
          <w:color w:val="auto"/>
          <w:sz w:val="32"/>
          <w:szCs w:val="32"/>
          <w:highlight w:val="none"/>
        </w:rPr>
        <w:t>1</w:t>
      </w:r>
      <w:r>
        <w:rPr>
          <w:rFonts w:hint="eastAsia" w:ascii="宋体" w:hAnsi="宋体" w:eastAsia="方正仿宋_GBK"/>
          <w:color w:val="auto"/>
          <w:sz w:val="32"/>
          <w:szCs w:val="32"/>
          <w:highlight w:val="none"/>
        </w:rPr>
        <w:t>年期满或</w:t>
      </w:r>
      <w:r>
        <w:rPr>
          <w:rFonts w:ascii="宋体" w:hAnsi="宋体" w:eastAsia="方正仿宋_GBK"/>
          <w:color w:val="auto"/>
          <w:sz w:val="32"/>
          <w:szCs w:val="32"/>
          <w:highlight w:val="none"/>
        </w:rPr>
        <w:t>D</w:t>
      </w:r>
      <w:r>
        <w:rPr>
          <w:rFonts w:hint="eastAsia" w:ascii="宋体" w:hAnsi="宋体" w:eastAsia="方正仿宋_GBK"/>
          <w:color w:val="auto"/>
          <w:sz w:val="32"/>
          <w:szCs w:val="32"/>
          <w:highlight w:val="none"/>
        </w:rPr>
        <w:t>级</w:t>
      </w:r>
      <w:r>
        <w:rPr>
          <w:rFonts w:ascii="宋体" w:hAnsi="宋体" w:eastAsia="方正仿宋_GBK"/>
          <w:color w:val="auto"/>
          <w:sz w:val="32"/>
          <w:szCs w:val="32"/>
          <w:highlight w:val="none"/>
        </w:rPr>
        <w:t>2年、3</w:t>
      </w:r>
      <w:r>
        <w:rPr>
          <w:rFonts w:hint="eastAsia" w:ascii="宋体" w:hAnsi="宋体" w:eastAsia="方正仿宋_GBK"/>
          <w:color w:val="auto"/>
          <w:sz w:val="32"/>
          <w:szCs w:val="32"/>
          <w:highlight w:val="none"/>
        </w:rPr>
        <w:t>年期满以后，按交通运输部当年度最新发布的评价等级确定；若当年度无交通运输部发布的评价等级，则定为</w:t>
      </w:r>
      <w:r>
        <w:rPr>
          <w:rFonts w:ascii="宋体" w:hAnsi="宋体" w:eastAsia="方正仿宋_GBK"/>
          <w:color w:val="auto"/>
          <w:sz w:val="32"/>
          <w:szCs w:val="32"/>
          <w:highlight w:val="none"/>
        </w:rPr>
        <w:t>B</w:t>
      </w:r>
      <w:r>
        <w:rPr>
          <w:rFonts w:hint="eastAsia" w:ascii="宋体" w:hAnsi="宋体" w:eastAsia="方正仿宋_GBK"/>
          <w:color w:val="auto"/>
          <w:sz w:val="32"/>
          <w:szCs w:val="32"/>
          <w:highlight w:val="none"/>
        </w:rPr>
        <w:t>级。</w:t>
      </w:r>
    </w:p>
    <w:p>
      <w:pPr>
        <w:widowControl/>
        <w:numPr>
          <w:ilvl w:val="255"/>
          <w:numId w:val="0"/>
        </w:numPr>
        <w:spacing w:line="560" w:lineRule="exact"/>
        <w:ind w:firstLine="420" w:firstLineChars="200"/>
        <w:rPr>
          <w:rFonts w:hint="default"/>
          <w:highlight w:val="none"/>
          <w:lang w:val="en-US"/>
        </w:rPr>
      </w:pPr>
    </w:p>
    <w:p>
      <w:pPr>
        <w:widowControl/>
        <w:spacing w:line="560" w:lineRule="exact"/>
        <w:jc w:val="center"/>
        <w:rPr>
          <w:rFonts w:hint="eastAsia" w:eastAsia="黑体"/>
          <w:bCs/>
          <w:snapToGrid w:val="0"/>
          <w:color w:val="auto"/>
          <w:sz w:val="32"/>
          <w:szCs w:val="32"/>
          <w:highlight w:val="none"/>
        </w:rPr>
      </w:pPr>
      <w:r>
        <w:rPr>
          <w:rFonts w:hint="eastAsia" w:eastAsia="黑体"/>
          <w:bCs/>
          <w:snapToGrid w:val="0"/>
          <w:color w:val="auto"/>
          <w:sz w:val="32"/>
          <w:szCs w:val="32"/>
          <w:highlight w:val="none"/>
        </w:rPr>
        <w:t>第七章</w:t>
      </w:r>
      <w:r>
        <w:rPr>
          <w:rFonts w:eastAsia="黑体"/>
          <w:bCs/>
          <w:snapToGrid w:val="0"/>
          <w:color w:val="auto"/>
          <w:sz w:val="32"/>
          <w:szCs w:val="32"/>
          <w:highlight w:val="none"/>
        </w:rPr>
        <w:t xml:space="preserve">  </w:t>
      </w:r>
      <w:r>
        <w:rPr>
          <w:rFonts w:hint="eastAsia" w:eastAsia="黑体"/>
          <w:bCs/>
          <w:snapToGrid w:val="0"/>
          <w:color w:val="auto"/>
          <w:sz w:val="32"/>
          <w:szCs w:val="32"/>
          <w:highlight w:val="none"/>
        </w:rPr>
        <w:t>监督管理</w:t>
      </w:r>
    </w:p>
    <w:p>
      <w:pPr>
        <w:pStyle w:val="2"/>
        <w:rPr>
          <w:rFonts w:hint="eastAsia"/>
          <w:highlight w:val="none"/>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招标人、建设单位应当建立信用信息管理台</w:t>
      </w:r>
      <w:r>
        <w:rPr>
          <w:rFonts w:hint="eastAsia" w:ascii="宋体" w:hAnsi="宋体" w:eastAsia="方正仿宋_GBK"/>
          <w:color w:val="auto"/>
          <w:sz w:val="32"/>
          <w:szCs w:val="32"/>
          <w:highlight w:val="none"/>
          <w:lang w:eastAsia="zh-CN"/>
        </w:rPr>
        <w:t>账</w:t>
      </w:r>
      <w:r>
        <w:rPr>
          <w:rFonts w:hint="eastAsia" w:ascii="宋体" w:hAnsi="宋体" w:eastAsia="方正仿宋_GBK"/>
          <w:color w:val="auto"/>
          <w:sz w:val="32"/>
          <w:szCs w:val="32"/>
          <w:highlight w:val="none"/>
        </w:rPr>
        <w:t>，按时对水运工程设计和施工企业进行信用评价，对存在严重失信行为、按规定直接进行定级的企业实行动态管理。信用评价工作中不得弄虚作假或以信用评价要挟企业、谋取私利。存在违规行为的，将依法依规进行处理。</w:t>
      </w: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交通运输</w:t>
      </w:r>
      <w:r>
        <w:rPr>
          <w:rFonts w:hint="eastAsia" w:ascii="宋体" w:hAnsi="宋体" w:eastAsia="方正仿宋_GBK"/>
          <w:color w:val="auto"/>
          <w:sz w:val="32"/>
          <w:szCs w:val="32"/>
          <w:highlight w:val="none"/>
          <w:lang w:eastAsia="zh-CN"/>
        </w:rPr>
        <w:t>主管</w:t>
      </w:r>
      <w:r>
        <w:rPr>
          <w:rFonts w:hint="eastAsia" w:ascii="宋体" w:hAnsi="宋体" w:eastAsia="方正仿宋_GBK"/>
          <w:color w:val="auto"/>
          <w:sz w:val="32"/>
          <w:szCs w:val="32"/>
          <w:highlight w:val="none"/>
        </w:rPr>
        <w:t>部门应加强对信用评价工作的管理和监督工作，加强对项目建设（代建）单位信用评价工作的监督检查。对发现的违规行为，应当责令相关当事人限期改正。</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bookmarkStart w:id="12" w:name="OLE_LINK68"/>
      <w:r>
        <w:rPr>
          <w:rFonts w:hint="eastAsia" w:ascii="宋体" w:hAnsi="宋体" w:eastAsia="方正仿宋_GBK"/>
          <w:color w:val="auto"/>
          <w:sz w:val="32"/>
          <w:szCs w:val="32"/>
          <w:highlight w:val="none"/>
        </w:rPr>
        <w:t>交通运输</w:t>
      </w:r>
      <w:r>
        <w:rPr>
          <w:rFonts w:hint="eastAsia" w:ascii="宋体" w:hAnsi="宋体" w:eastAsia="方正仿宋_GBK"/>
          <w:color w:val="auto"/>
          <w:sz w:val="32"/>
          <w:szCs w:val="32"/>
          <w:highlight w:val="none"/>
          <w:lang w:eastAsia="zh-CN"/>
        </w:rPr>
        <w:t>主管</w:t>
      </w:r>
      <w:r>
        <w:rPr>
          <w:rFonts w:hint="eastAsia" w:ascii="宋体" w:hAnsi="宋体" w:eastAsia="方正仿宋_GBK"/>
          <w:color w:val="auto"/>
          <w:sz w:val="32"/>
          <w:szCs w:val="32"/>
          <w:highlight w:val="none"/>
        </w:rPr>
        <w:t>部门</w:t>
      </w:r>
      <w:r>
        <w:rPr>
          <w:rFonts w:ascii="宋体" w:hAnsi="宋体" w:eastAsia="方正仿宋_GBK"/>
          <w:color w:val="auto"/>
          <w:sz w:val="32"/>
          <w:szCs w:val="32"/>
          <w:highlight w:val="none"/>
        </w:rPr>
        <w:t>工作人员</w:t>
      </w:r>
      <w:bookmarkEnd w:id="12"/>
      <w:r>
        <w:rPr>
          <w:rFonts w:ascii="宋体" w:hAnsi="宋体" w:eastAsia="方正仿宋_GBK"/>
          <w:color w:val="auto"/>
          <w:sz w:val="32"/>
          <w:szCs w:val="32"/>
          <w:highlight w:val="none"/>
        </w:rPr>
        <w:t>要如实、客观、公正地对企业信用情况进行评价、审核，不得徇私舞弊、以权谋私或弄虚作假。存在故意遗漏或凭空增加企业不良行为、擅自修改评分等违规行为的，将按有关规定进行处理。</w:t>
      </w:r>
    </w:p>
    <w:p>
      <w:pPr>
        <w:ind w:firstLine="562" w:firstLineChars="200"/>
        <w:rPr>
          <w:rFonts w:hint="default" w:ascii="宋体" w:hAnsi="宋体" w:eastAsia="方正楷体_GBK" w:cs="方正楷体_GBK"/>
          <w:b/>
          <w:bCs/>
          <w:color w:val="000000"/>
          <w:sz w:val="28"/>
          <w:szCs w:val="28"/>
          <w:highlight w:val="none"/>
          <w:lang w:val="en-US" w:eastAsia="zh-CN"/>
        </w:rPr>
      </w:pPr>
    </w:p>
    <w:p>
      <w:pPr>
        <w:widowControl/>
        <w:spacing w:line="560" w:lineRule="exact"/>
        <w:jc w:val="center"/>
        <w:rPr>
          <w:rFonts w:hint="eastAsia" w:eastAsia="黑体"/>
          <w:bCs/>
          <w:snapToGrid w:val="0"/>
          <w:color w:val="auto"/>
          <w:sz w:val="32"/>
          <w:szCs w:val="32"/>
          <w:highlight w:val="none"/>
        </w:rPr>
      </w:pPr>
      <w:r>
        <w:rPr>
          <w:rFonts w:hint="eastAsia" w:eastAsia="黑体"/>
          <w:bCs/>
          <w:snapToGrid w:val="0"/>
          <w:color w:val="auto"/>
          <w:sz w:val="32"/>
          <w:szCs w:val="32"/>
          <w:highlight w:val="none"/>
        </w:rPr>
        <w:t>第八章</w:t>
      </w:r>
      <w:r>
        <w:rPr>
          <w:rFonts w:eastAsia="黑体"/>
          <w:bCs/>
          <w:snapToGrid w:val="0"/>
          <w:color w:val="auto"/>
          <w:sz w:val="32"/>
          <w:szCs w:val="32"/>
          <w:highlight w:val="none"/>
        </w:rPr>
        <w:t xml:space="preserve">  </w:t>
      </w:r>
      <w:r>
        <w:rPr>
          <w:rFonts w:hint="eastAsia" w:eastAsia="黑体"/>
          <w:bCs/>
          <w:snapToGrid w:val="0"/>
          <w:color w:val="auto"/>
          <w:sz w:val="32"/>
          <w:szCs w:val="32"/>
          <w:highlight w:val="none"/>
        </w:rPr>
        <w:t>附</w:t>
      </w:r>
      <w:r>
        <w:rPr>
          <w:rFonts w:hint="eastAsia" w:eastAsia="黑体"/>
          <w:bCs/>
          <w:snapToGrid w:val="0"/>
          <w:color w:val="auto"/>
          <w:sz w:val="32"/>
          <w:szCs w:val="32"/>
          <w:highlight w:val="none"/>
          <w:lang w:val="en-US" w:eastAsia="zh-CN"/>
        </w:rPr>
        <w:t xml:space="preserve">   </w:t>
      </w:r>
      <w:r>
        <w:rPr>
          <w:rFonts w:hint="eastAsia" w:eastAsia="黑体"/>
          <w:bCs/>
          <w:snapToGrid w:val="0"/>
          <w:color w:val="auto"/>
          <w:sz w:val="32"/>
          <w:szCs w:val="32"/>
          <w:highlight w:val="none"/>
        </w:rPr>
        <w:t>则</w:t>
      </w:r>
    </w:p>
    <w:p>
      <w:pPr>
        <w:pStyle w:val="2"/>
        <w:rPr>
          <w:rFonts w:hint="eastAsia"/>
          <w:highlight w:val="none"/>
        </w:rPr>
      </w:pPr>
    </w:p>
    <w:p>
      <w:pPr>
        <w:widowControl/>
        <w:numPr>
          <w:ilvl w:val="0"/>
          <w:numId w:val="1"/>
        </w:numPr>
        <w:spacing w:line="560" w:lineRule="exact"/>
        <w:ind w:firstLine="640" w:firstLineChars="200"/>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本实施细则自202X年X月X日起施行，由省交通运输厅负责解释。</w:t>
      </w:r>
    </w:p>
    <w:p>
      <w:pPr>
        <w:widowControl/>
        <w:numPr>
          <w:ilvl w:val="255"/>
          <w:numId w:val="0"/>
        </w:numPr>
        <w:spacing w:line="560" w:lineRule="exact"/>
        <w:ind w:firstLine="640" w:firstLineChars="200"/>
        <w:rPr>
          <w:rFonts w:hint="eastAsia" w:ascii="宋体" w:hAnsi="宋体" w:eastAsia="方正仿宋_GBK"/>
          <w:color w:val="auto"/>
          <w:sz w:val="32"/>
          <w:szCs w:val="32"/>
          <w:highlight w:val="none"/>
        </w:rPr>
      </w:pPr>
    </w:p>
    <w:p>
      <w:pPr>
        <w:pStyle w:val="8"/>
        <w:widowControl/>
        <w:spacing w:before="0" w:beforeAutospacing="0" w:after="0" w:afterAutospacing="0" w:line="579" w:lineRule="exact"/>
        <w:ind w:left="2238" w:leftChars="304" w:hanging="1600" w:hangingChars="500"/>
        <w:rPr>
          <w:rFonts w:ascii="仿宋_GB2312" w:eastAsia="仿宋_GB2312" w:cs="仿宋_GB2312"/>
          <w:color w:val="auto"/>
          <w:sz w:val="32"/>
          <w:szCs w:val="32"/>
          <w:highlight w:val="none"/>
        </w:rPr>
      </w:pPr>
      <w:r>
        <w:rPr>
          <w:rFonts w:hint="eastAsia" w:ascii="宋体" w:hAnsi="宋体" w:eastAsia="方正仿宋_GBK"/>
          <w:color w:val="auto"/>
          <w:kern w:val="2"/>
          <w:sz w:val="32"/>
          <w:szCs w:val="32"/>
          <w:highlight w:val="none"/>
        </w:rPr>
        <w:t>附件：1.</w:t>
      </w: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云南省</w:t>
      </w:r>
      <w:r>
        <w:rPr>
          <w:rFonts w:ascii="宋体" w:hAnsi="宋体" w:eastAsia="方正仿宋_GBK"/>
          <w:color w:val="auto"/>
          <w:sz w:val="32"/>
          <w:szCs w:val="32"/>
          <w:highlight w:val="none"/>
        </w:rPr>
        <w:t>水运工程设计企业信用行为评定标准》</w:t>
      </w:r>
    </w:p>
    <w:p>
      <w:pPr>
        <w:pStyle w:val="8"/>
        <w:widowControl/>
        <w:spacing w:before="0" w:beforeAutospacing="0" w:after="0" w:afterAutospacing="0" w:line="579" w:lineRule="exact"/>
        <w:ind w:left="1478" w:leftChars="704"/>
        <w:rPr>
          <w:rFonts w:hint="eastAsia" w:ascii="宋体" w:hAnsi="宋体" w:eastAsia="方正仿宋_GBK"/>
          <w:color w:val="auto"/>
          <w:sz w:val="32"/>
          <w:szCs w:val="32"/>
          <w:highlight w:val="none"/>
        </w:rPr>
      </w:pPr>
      <w:r>
        <w:rPr>
          <w:rFonts w:hint="eastAsia" w:ascii="宋体" w:hAnsi="宋体" w:eastAsia="方正仿宋_GBK"/>
          <w:color w:val="auto"/>
          <w:sz w:val="32"/>
          <w:szCs w:val="32"/>
          <w:highlight w:val="none"/>
        </w:rPr>
        <w:t>2.</w:t>
      </w: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云南省</w:t>
      </w:r>
      <w:r>
        <w:rPr>
          <w:rFonts w:ascii="宋体" w:hAnsi="宋体" w:eastAsia="方正仿宋_GBK"/>
          <w:color w:val="auto"/>
          <w:sz w:val="32"/>
          <w:szCs w:val="32"/>
          <w:highlight w:val="none"/>
        </w:rPr>
        <w:t>水运工程施工企业信用行为评定标准》</w:t>
      </w:r>
    </w:p>
    <w:p>
      <w:pPr>
        <w:pStyle w:val="8"/>
        <w:widowControl/>
        <w:spacing w:before="0" w:beforeAutospacing="0" w:after="0" w:afterAutospacing="0" w:line="579" w:lineRule="exact"/>
        <w:ind w:left="1478" w:leftChars="704"/>
        <w:rPr>
          <w:rFonts w:ascii="宋体" w:hAnsi="宋体" w:eastAsia="方正仿宋_GBK"/>
          <w:color w:val="auto"/>
          <w:sz w:val="32"/>
          <w:szCs w:val="32"/>
          <w:highlight w:val="none"/>
        </w:rPr>
      </w:pPr>
      <w:r>
        <w:rPr>
          <w:rFonts w:hint="eastAsia" w:ascii="宋体" w:hAnsi="宋体" w:eastAsia="方正仿宋_GBK"/>
          <w:color w:val="auto"/>
          <w:sz w:val="32"/>
          <w:szCs w:val="32"/>
          <w:highlight w:val="none"/>
        </w:rPr>
        <w:t>3.</w:t>
      </w:r>
      <w:r>
        <w:rPr>
          <w:rFonts w:ascii="宋体" w:hAnsi="宋体" w:eastAsia="方正仿宋_GBK"/>
          <w:color w:val="auto"/>
          <w:sz w:val="32"/>
          <w:szCs w:val="32"/>
          <w:highlight w:val="none"/>
        </w:rPr>
        <w:t>《</w:t>
      </w:r>
      <w:r>
        <w:rPr>
          <w:rFonts w:hint="eastAsia" w:ascii="宋体" w:hAnsi="宋体" w:eastAsia="方正仿宋_GBK"/>
          <w:color w:val="auto"/>
          <w:sz w:val="32"/>
          <w:szCs w:val="32"/>
          <w:highlight w:val="none"/>
        </w:rPr>
        <w:t>云南省</w:t>
      </w:r>
      <w:r>
        <w:rPr>
          <w:rFonts w:ascii="宋体" w:hAnsi="宋体" w:eastAsia="方正仿宋_GBK"/>
          <w:color w:val="auto"/>
          <w:sz w:val="32"/>
          <w:szCs w:val="32"/>
          <w:highlight w:val="none"/>
        </w:rPr>
        <w:t>水运工程设计企业和施工企业信用评价评分计算方法》</w:t>
      </w:r>
    </w:p>
    <w:p>
      <w:pPr>
        <w:pStyle w:val="8"/>
        <w:widowControl/>
        <w:spacing w:before="0" w:beforeAutospacing="0" w:after="0" w:afterAutospacing="0" w:line="579" w:lineRule="exact"/>
        <w:ind w:left="1478" w:leftChars="704"/>
        <w:rPr>
          <w:rFonts w:hint="default" w:ascii="宋体" w:hAnsi="宋体" w:eastAsia="方正仿宋_GBK"/>
          <w:color w:val="auto"/>
          <w:sz w:val="32"/>
          <w:szCs w:val="32"/>
          <w:highlight w:val="none"/>
          <w:lang w:val="en-US"/>
        </w:rPr>
      </w:pPr>
    </w:p>
    <w:p>
      <w:pPr>
        <w:rPr>
          <w:color w:val="auto"/>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tabs>
          <w:tab w:val="left" w:pos="13230"/>
        </w:tabs>
        <w:kinsoku/>
        <w:wordWrap/>
        <w:overflowPunct/>
        <w:topLinePunct w:val="0"/>
        <w:autoSpaceDE/>
        <w:autoSpaceDN/>
        <w:bidi w:val="0"/>
        <w:adjustRightInd/>
        <w:snapToGrid/>
        <w:spacing w:line="360" w:lineRule="exact"/>
        <w:textAlignment w:val="auto"/>
        <w:rPr>
          <w:rFonts w:ascii="宋体" w:hAnsi="宋体" w:cs="宋体"/>
          <w:bCs/>
          <w:color w:val="auto"/>
          <w:sz w:val="24"/>
          <w:szCs w:val="24"/>
          <w:highlight w:val="none"/>
        </w:rPr>
      </w:pPr>
      <w:r>
        <w:rPr>
          <w:rFonts w:hint="eastAsia" w:ascii="方正黑体_GBK" w:hAnsi="方正黑体_GBK" w:eastAsia="方正黑体_GBK" w:cs="方正黑体_GBK"/>
          <w:bCs/>
          <w:color w:val="auto"/>
          <w:sz w:val="32"/>
          <w:szCs w:val="32"/>
          <w:highlight w:val="none"/>
        </w:rPr>
        <w:t>附件1</w:t>
      </w:r>
    </w:p>
    <w:p>
      <w:pPr>
        <w:tabs>
          <w:tab w:val="left" w:pos="13230"/>
        </w:tabs>
        <w:ind w:firstLine="568"/>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6"/>
          <w:szCs w:val="36"/>
          <w:highlight w:val="none"/>
          <w:lang w:eastAsia="zh-CN"/>
        </w:rPr>
        <w:t>云南省</w:t>
      </w:r>
      <w:r>
        <w:rPr>
          <w:rFonts w:hint="eastAsia" w:ascii="方正小标宋_GBK" w:hAnsi="方正小标宋_GBK" w:eastAsia="方正小标宋_GBK" w:cs="方正小标宋_GBK"/>
          <w:bCs/>
          <w:color w:val="auto"/>
          <w:sz w:val="36"/>
          <w:szCs w:val="36"/>
          <w:highlight w:val="none"/>
        </w:rPr>
        <w:t>水运工程设计企业信用行为评定标准</w:t>
      </w:r>
    </w:p>
    <w:tbl>
      <w:tblPr>
        <w:tblStyle w:val="10"/>
        <w:tblW w:w="1366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612"/>
        <w:gridCol w:w="15"/>
        <w:gridCol w:w="1628"/>
        <w:gridCol w:w="6520"/>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评定内容</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行为代码</w:t>
            </w:r>
          </w:p>
        </w:tc>
        <w:tc>
          <w:tcPr>
            <w:tcW w:w="6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失信行为</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行为等级和扣分标准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投标行为</w:t>
            </w:r>
          </w:p>
          <w:p>
            <w:pPr>
              <w:jc w:val="center"/>
              <w:rPr>
                <w:rFonts w:ascii="宋体" w:hAnsi="宋体"/>
                <w:bCs/>
                <w:color w:val="auto"/>
                <w:sz w:val="24"/>
                <w:szCs w:val="24"/>
                <w:highlight w:val="none"/>
              </w:rPr>
            </w:pPr>
            <w:r>
              <w:rPr>
                <w:rFonts w:hint="eastAsia" w:ascii="宋体" w:hAnsi="宋体"/>
                <w:bCs/>
                <w:color w:val="auto"/>
                <w:sz w:val="24"/>
                <w:szCs w:val="24"/>
                <w:highlight w:val="none"/>
              </w:rPr>
              <w:t>（满分15分，扣完为止）</w:t>
            </w:r>
          </w:p>
        </w:tc>
        <w:tc>
          <w:tcPr>
            <w:tcW w:w="1612" w:type="dxa"/>
            <w:vMerge w:val="restart"/>
            <w:tcBorders>
              <w:top w:val="single" w:color="auto" w:sz="4" w:space="0"/>
              <w:left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严重失信</w:t>
            </w:r>
          </w:p>
          <w:p>
            <w:pPr>
              <w:jc w:val="center"/>
              <w:rPr>
                <w:rFonts w:ascii="宋体" w:hAnsi="宋体"/>
                <w:bCs/>
                <w:color w:val="auto"/>
                <w:sz w:val="24"/>
                <w:szCs w:val="24"/>
                <w:highlight w:val="none"/>
              </w:rPr>
            </w:pPr>
            <w:r>
              <w:rPr>
                <w:rFonts w:hint="eastAsia" w:ascii="宋体" w:hAnsi="宋体"/>
                <w:bCs/>
                <w:color w:val="auto"/>
                <w:sz w:val="24"/>
                <w:szCs w:val="24"/>
                <w:highlight w:val="none"/>
              </w:rPr>
              <w:t>行为</w:t>
            </w:r>
          </w:p>
        </w:tc>
        <w:tc>
          <w:tcPr>
            <w:tcW w:w="1643" w:type="dxa"/>
            <w:gridSpan w:val="2"/>
            <w:tcBorders>
              <w:top w:val="single" w:color="auto" w:sz="4" w:space="0"/>
              <w:left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SYSJ1-1-1</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涂改、伪造、出借、转让资质证书</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tcBorders>
              <w:left w:val="single" w:color="auto" w:sz="4" w:space="0"/>
              <w:right w:val="single" w:color="auto" w:sz="4" w:space="0"/>
            </w:tcBorders>
            <w:vAlign w:val="center"/>
          </w:tcPr>
          <w:p>
            <w:pPr>
              <w:jc w:val="center"/>
              <w:rPr>
                <w:rFonts w:ascii="宋体" w:hAnsi="宋体"/>
                <w:bCs/>
                <w:color w:val="auto"/>
                <w:sz w:val="24"/>
                <w:szCs w:val="24"/>
                <w:highlight w:val="none"/>
              </w:rPr>
            </w:pPr>
          </w:p>
        </w:tc>
        <w:tc>
          <w:tcPr>
            <w:tcW w:w="1643" w:type="dxa"/>
            <w:gridSpan w:val="2"/>
            <w:tcBorders>
              <w:left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SYSJ1-1-2</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以他人名义投标或者以其他方式弄虚作假，骗取中标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tcBorders>
              <w:left w:val="single" w:color="auto" w:sz="4" w:space="0"/>
              <w:right w:val="single" w:color="auto" w:sz="4" w:space="0"/>
            </w:tcBorders>
            <w:vAlign w:val="center"/>
          </w:tcPr>
          <w:p>
            <w:pPr>
              <w:jc w:val="center"/>
              <w:rPr>
                <w:rFonts w:ascii="宋体" w:hAnsi="宋体"/>
                <w:bCs/>
                <w:color w:val="auto"/>
                <w:sz w:val="24"/>
                <w:szCs w:val="24"/>
                <w:highlight w:val="none"/>
              </w:rPr>
            </w:pPr>
          </w:p>
        </w:tc>
        <w:tc>
          <w:tcPr>
            <w:tcW w:w="1643" w:type="dxa"/>
            <w:gridSpan w:val="2"/>
            <w:tcBorders>
              <w:left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SYSJ1-1-3</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超越本单位资质等级承揽工程</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tcBorders>
              <w:left w:val="single" w:color="auto" w:sz="4" w:space="0"/>
              <w:right w:val="single" w:color="auto" w:sz="4" w:space="0"/>
            </w:tcBorders>
            <w:vAlign w:val="center"/>
          </w:tcPr>
          <w:p>
            <w:pPr>
              <w:jc w:val="center"/>
              <w:rPr>
                <w:rFonts w:ascii="宋体" w:hAnsi="宋体"/>
                <w:bCs/>
                <w:color w:val="auto"/>
                <w:sz w:val="24"/>
                <w:szCs w:val="24"/>
                <w:highlight w:val="none"/>
              </w:rPr>
            </w:pPr>
          </w:p>
        </w:tc>
        <w:tc>
          <w:tcPr>
            <w:tcW w:w="1643" w:type="dxa"/>
            <w:gridSpan w:val="2"/>
            <w:tcBorders>
              <w:left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SYSJ1-1-4</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投标人之间相互串通投标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p>
        </w:tc>
        <w:tc>
          <w:tcPr>
            <w:tcW w:w="1643" w:type="dxa"/>
            <w:gridSpan w:val="2"/>
            <w:tcBorders>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SYSJ1-1-5</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向招标人或者评标委员会成员行贿谋取中标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restart"/>
            <w:tcBorders>
              <w:top w:val="single" w:color="auto" w:sz="4" w:space="0"/>
              <w:left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一般失信</w:t>
            </w:r>
          </w:p>
          <w:p>
            <w:pPr>
              <w:jc w:val="center"/>
              <w:rPr>
                <w:rFonts w:ascii="宋体" w:hAnsi="宋体"/>
                <w:bCs/>
                <w:color w:val="auto"/>
                <w:sz w:val="24"/>
                <w:szCs w:val="24"/>
                <w:highlight w:val="none"/>
              </w:rPr>
            </w:pPr>
            <w:r>
              <w:rPr>
                <w:rFonts w:hint="eastAsia" w:ascii="宋体" w:hAnsi="宋体"/>
                <w:bCs/>
                <w:color w:val="auto"/>
                <w:sz w:val="24"/>
                <w:szCs w:val="24"/>
                <w:highlight w:val="none"/>
              </w:rPr>
              <w:t>行为</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SYSJ1-2-1</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资格预审申请文件或投标文件存在严重造假行为，事实认定清楚</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tcBorders>
              <w:left w:val="single" w:color="auto" w:sz="4" w:space="0"/>
              <w:right w:val="single" w:color="auto" w:sz="4" w:space="0"/>
            </w:tcBorders>
            <w:vAlign w:val="center"/>
          </w:tcPr>
          <w:p>
            <w:pPr>
              <w:jc w:val="center"/>
              <w:rPr>
                <w:rFonts w:ascii="宋体" w:hAnsi="宋体"/>
                <w:bCs/>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SYSJ1-2-2</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u w:val="single"/>
              </w:rPr>
            </w:pPr>
            <w:r>
              <w:rPr>
                <w:rFonts w:hint="eastAsia" w:ascii="宋体" w:hAnsi="宋体"/>
                <w:bCs/>
                <w:color w:val="auto"/>
                <w:sz w:val="24"/>
                <w:szCs w:val="24"/>
                <w:highlight w:val="none"/>
              </w:rPr>
              <w:t>中标后无正当理由放弃中标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tcBorders>
              <w:left w:val="single" w:color="auto" w:sz="4" w:space="0"/>
              <w:right w:val="single" w:color="auto" w:sz="4" w:space="0"/>
            </w:tcBorders>
            <w:vAlign w:val="center"/>
          </w:tcPr>
          <w:p>
            <w:pPr>
              <w:jc w:val="center"/>
              <w:rPr>
                <w:rFonts w:ascii="宋体" w:hAnsi="宋体"/>
                <w:bCs/>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SYSJ1-2-3</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 w:val="24"/>
                <w:szCs w:val="24"/>
                <w:highlight w:val="none"/>
              </w:rPr>
            </w:pPr>
            <w:r>
              <w:rPr>
                <w:rFonts w:hint="eastAsia" w:ascii="宋体" w:hAnsi="宋体"/>
                <w:bCs/>
                <w:color w:val="auto"/>
                <w:sz w:val="24"/>
                <w:szCs w:val="24"/>
                <w:highlight w:val="none"/>
              </w:rPr>
              <w:t>捏造事实、伪造材料或者以非法手段取得证明材料，进行虚假、恶意投诉</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SYSJ1-2-4</w:t>
            </w:r>
          </w:p>
        </w:tc>
        <w:tc>
          <w:tcPr>
            <w:tcW w:w="65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bCs/>
                <w:color w:val="auto"/>
                <w:kern w:val="2"/>
                <w:sz w:val="24"/>
                <w:szCs w:val="24"/>
                <w:highlight w:val="none"/>
              </w:rPr>
            </w:pPr>
            <w:r>
              <w:rPr>
                <w:rFonts w:hint="eastAsia" w:ascii="宋体" w:hAnsi="宋体"/>
                <w:bCs/>
                <w:color w:val="auto"/>
                <w:sz w:val="24"/>
                <w:szCs w:val="24"/>
                <w:highlight w:val="none"/>
              </w:rPr>
              <w:t>其他被认定的失信行为</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restart"/>
            <w:vAlign w:val="center"/>
          </w:tcPr>
          <w:p>
            <w:pPr>
              <w:jc w:val="center"/>
              <w:rPr>
                <w:rFonts w:ascii="宋体" w:hAnsi="宋体"/>
                <w:bCs/>
                <w:color w:val="auto"/>
                <w:sz w:val="24"/>
                <w:szCs w:val="24"/>
                <w:highlight w:val="none"/>
              </w:rPr>
            </w:pPr>
          </w:p>
          <w:p>
            <w:pPr>
              <w:jc w:val="center"/>
              <w:rPr>
                <w:rFonts w:ascii="宋体" w:hAnsi="宋体"/>
                <w:bCs/>
                <w:color w:val="auto"/>
                <w:sz w:val="24"/>
                <w:szCs w:val="24"/>
                <w:highlight w:val="none"/>
              </w:rPr>
            </w:pPr>
          </w:p>
          <w:p>
            <w:pPr>
              <w:jc w:val="center"/>
              <w:rPr>
                <w:rFonts w:ascii="宋体" w:hAnsi="宋体"/>
                <w:bCs/>
                <w:color w:val="auto"/>
                <w:sz w:val="24"/>
                <w:szCs w:val="24"/>
                <w:highlight w:val="none"/>
              </w:rPr>
            </w:pPr>
          </w:p>
          <w:p>
            <w:pPr>
              <w:jc w:val="center"/>
              <w:rPr>
                <w:rFonts w:ascii="宋体" w:hAnsi="宋体"/>
                <w:bCs/>
                <w:color w:val="auto"/>
                <w:sz w:val="24"/>
                <w:szCs w:val="24"/>
                <w:highlight w:val="none"/>
              </w:rPr>
            </w:pPr>
          </w:p>
          <w:p>
            <w:pPr>
              <w:jc w:val="center"/>
              <w:rPr>
                <w:rFonts w:ascii="宋体" w:hAnsi="宋体"/>
                <w:bCs/>
                <w:color w:val="auto"/>
                <w:sz w:val="24"/>
                <w:szCs w:val="24"/>
                <w:highlight w:val="none"/>
              </w:rPr>
            </w:pPr>
          </w:p>
          <w:p>
            <w:pPr>
              <w:jc w:val="center"/>
              <w:rPr>
                <w:rFonts w:ascii="宋体" w:hAnsi="宋体"/>
                <w:bCs/>
                <w:color w:val="auto"/>
                <w:sz w:val="24"/>
                <w:szCs w:val="24"/>
                <w:highlight w:val="none"/>
              </w:rPr>
            </w:pPr>
            <w:r>
              <w:rPr>
                <w:rFonts w:hint="eastAsia" w:ascii="宋体" w:hAnsi="宋体"/>
                <w:bCs/>
                <w:color w:val="auto"/>
                <w:sz w:val="24"/>
                <w:szCs w:val="24"/>
                <w:highlight w:val="none"/>
              </w:rPr>
              <w:t>履约行为</w:t>
            </w:r>
          </w:p>
          <w:p>
            <w:pPr>
              <w:jc w:val="center"/>
              <w:rPr>
                <w:rFonts w:ascii="宋体" w:hAnsi="宋体"/>
                <w:bCs/>
                <w:color w:val="auto"/>
                <w:sz w:val="24"/>
                <w:szCs w:val="24"/>
                <w:highlight w:val="none"/>
              </w:rPr>
            </w:pPr>
            <w:r>
              <w:rPr>
                <w:rFonts w:hint="eastAsia" w:ascii="宋体" w:hAnsi="宋体"/>
                <w:bCs/>
                <w:color w:val="auto"/>
                <w:sz w:val="24"/>
                <w:szCs w:val="24"/>
                <w:highlight w:val="none"/>
              </w:rPr>
              <w:t>（满分70分，扣完为止）</w:t>
            </w:r>
          </w:p>
        </w:tc>
        <w:tc>
          <w:tcPr>
            <w:tcW w:w="1612" w:type="dxa"/>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严重失信</w:t>
            </w:r>
          </w:p>
          <w:p>
            <w:pPr>
              <w:jc w:val="center"/>
              <w:rPr>
                <w:rFonts w:ascii="宋体" w:hAnsi="宋体"/>
                <w:bCs/>
                <w:color w:val="auto"/>
                <w:sz w:val="24"/>
                <w:szCs w:val="24"/>
                <w:highlight w:val="none"/>
              </w:rPr>
            </w:pPr>
            <w:r>
              <w:rPr>
                <w:rFonts w:hint="eastAsia" w:ascii="宋体" w:hAnsi="宋体"/>
                <w:bCs/>
                <w:color w:val="auto"/>
                <w:sz w:val="24"/>
                <w:szCs w:val="24"/>
                <w:highlight w:val="none"/>
              </w:rPr>
              <w:t>行为</w:t>
            </w: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SYSJ2-1-1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向他人转让中标项目，或将中标项目肢解后分别向他人转让项目</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SYSJ2-1-2</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因设计原因引起重大质量事故（二级以上）或重大以上等级安全责任事故</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设计服务</w:t>
            </w:r>
          </w:p>
          <w:p>
            <w:pPr>
              <w:jc w:val="center"/>
              <w:rPr>
                <w:rFonts w:ascii="宋体" w:hAnsi="宋体"/>
                <w:bCs/>
                <w:color w:val="auto"/>
                <w:sz w:val="24"/>
                <w:szCs w:val="24"/>
                <w:highlight w:val="none"/>
              </w:rPr>
            </w:pPr>
            <w:r>
              <w:rPr>
                <w:rFonts w:hint="eastAsia" w:ascii="宋体" w:hAnsi="宋体"/>
                <w:bCs/>
                <w:color w:val="auto"/>
                <w:sz w:val="24"/>
                <w:szCs w:val="24"/>
                <w:highlight w:val="none"/>
              </w:rPr>
              <w:t>（满分30分，扣完为止）</w:t>
            </w: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未按投标书承诺的条件配备项目负责人或未经项目法人同意更换</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SYSJ2-2-2</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在设计变更中与他人串通谋取非法利益</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SYSJ2-2-3</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未按投标书承诺的条件配备专业负责人或未经项目法人同意更换</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SYSJ2-2-4</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指定建筑材料、建筑构配件、设备等生产厂、供应商</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SYSJ2-2-5</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未按合同承诺提供设计服务引起工期延误</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SYSJ2-2-6</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未按投标书承诺的条件配备设计代表或未经项目法人同意更换</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SYSJ2-2-7</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未按合同承诺按时提交设计文件</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SYSJ2-2-8</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设计文件签署不全</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质量安全</w:t>
            </w:r>
          </w:p>
          <w:p>
            <w:pPr>
              <w:jc w:val="center"/>
              <w:rPr>
                <w:rFonts w:ascii="宋体" w:hAnsi="宋体"/>
                <w:bCs/>
                <w:color w:val="auto"/>
                <w:sz w:val="24"/>
                <w:szCs w:val="24"/>
                <w:highlight w:val="none"/>
              </w:rPr>
            </w:pPr>
            <w:r>
              <w:rPr>
                <w:rFonts w:hint="eastAsia" w:ascii="宋体" w:hAnsi="宋体"/>
                <w:bCs/>
                <w:color w:val="auto"/>
                <w:sz w:val="24"/>
                <w:szCs w:val="24"/>
                <w:highlight w:val="none"/>
              </w:rPr>
              <w:t>（满分35分，扣完为止）</w:t>
            </w: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SYSJ2-3-1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因设计原因引起较大安全责任事故</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SYSJ2-3-2</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因设计原因引起一般安全责任事故</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SYSJ2-3-3</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因设计原因引起重大（二级以下）、一般以上质量事故</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SYSJ2-3-4</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未按照工程建设强制性标准进行设计，或擅自降低设计标准</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SYSJ2-3-5</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因设计原因发生重大设计变更导致工程建设费用增加或工期延误较多</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SYSJ2-3-6</w:t>
            </w:r>
          </w:p>
        </w:tc>
        <w:tc>
          <w:tcPr>
            <w:tcW w:w="6520" w:type="dxa"/>
            <w:vAlign w:val="center"/>
          </w:tcPr>
          <w:p>
            <w:pPr>
              <w:rPr>
                <w:rFonts w:ascii="宋体" w:hAnsi="宋体"/>
                <w:bCs/>
                <w:color w:val="auto"/>
                <w:sz w:val="24"/>
                <w:szCs w:val="24"/>
                <w:highlight w:val="none"/>
              </w:rPr>
            </w:pPr>
            <w:r>
              <w:rPr>
                <w:rFonts w:hint="eastAsia" w:ascii="宋体" w:hAnsi="宋体" w:cs="宋体"/>
                <w:bCs/>
                <w:color w:val="auto"/>
                <w:sz w:val="24"/>
                <w:szCs w:val="24"/>
                <w:highlight w:val="none"/>
              </w:rPr>
              <w:t>因设计原因发生质量问题或严重质量缺陷</w:t>
            </w:r>
          </w:p>
        </w:tc>
        <w:tc>
          <w:tcPr>
            <w:tcW w:w="2709" w:type="dxa"/>
            <w:vAlign w:val="center"/>
          </w:tcPr>
          <w:p>
            <w:pPr>
              <w:jc w:val="center"/>
              <w:rPr>
                <w:rFonts w:ascii="宋体" w:hAnsi="宋体"/>
                <w:bCs/>
                <w:color w:val="auto"/>
                <w:sz w:val="24"/>
                <w:szCs w:val="24"/>
                <w:highlight w:val="none"/>
              </w:rPr>
            </w:pPr>
            <w:r>
              <w:rPr>
                <w:rFonts w:hint="eastAsia" w:ascii="宋体" w:hAnsi="宋体" w:cs="宋体"/>
                <w:bCs/>
                <w:color w:val="auto"/>
                <w:sz w:val="24"/>
                <w:szCs w:val="24"/>
                <w:highlight w:val="none"/>
              </w:rPr>
              <w:t>2-3分/次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restart"/>
            <w:tcBorders>
              <w:top w:val="single" w:color="auto" w:sz="4" w:space="0"/>
            </w:tcBorders>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社会责任</w:t>
            </w:r>
          </w:p>
          <w:p>
            <w:pPr>
              <w:jc w:val="center"/>
              <w:rPr>
                <w:rFonts w:ascii="宋体" w:hAnsi="宋体"/>
                <w:bCs/>
                <w:color w:val="auto"/>
                <w:sz w:val="24"/>
                <w:szCs w:val="24"/>
                <w:highlight w:val="none"/>
              </w:rPr>
            </w:pPr>
            <w:r>
              <w:rPr>
                <w:rFonts w:hint="eastAsia" w:ascii="宋体" w:hAnsi="宋体"/>
                <w:bCs/>
                <w:color w:val="auto"/>
                <w:sz w:val="24"/>
                <w:szCs w:val="24"/>
                <w:highlight w:val="none"/>
              </w:rPr>
              <w:t>（满分5分，扣完为止）</w:t>
            </w: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SYSJ2-4-1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未经专利权人许可实施其专利的，或假冒他人专利</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Merge w:val="continue"/>
            <w:vAlign w:val="center"/>
          </w:tcPr>
          <w:p>
            <w:pPr>
              <w:jc w:val="center"/>
              <w:rPr>
                <w:rFonts w:ascii="宋体" w:hAnsi="宋体"/>
                <w:bCs/>
                <w:color w:val="auto"/>
                <w:sz w:val="24"/>
                <w:szCs w:val="24"/>
                <w:highlight w:val="none"/>
              </w:rPr>
            </w:pP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SYSJ2-4-2</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因设计原因造成环境污染</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12"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其他</w:t>
            </w:r>
          </w:p>
        </w:tc>
        <w:tc>
          <w:tcPr>
            <w:tcW w:w="1643" w:type="dxa"/>
            <w:gridSpan w:val="2"/>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SYSJ2-5-1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其他被认定的失信行为</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其它信用  行为</w:t>
            </w:r>
          </w:p>
          <w:p>
            <w:pPr>
              <w:jc w:val="center"/>
              <w:rPr>
                <w:rFonts w:ascii="宋体" w:hAnsi="宋体"/>
                <w:bCs/>
                <w:color w:val="auto"/>
                <w:sz w:val="24"/>
                <w:szCs w:val="24"/>
                <w:highlight w:val="none"/>
              </w:rPr>
            </w:pPr>
            <w:r>
              <w:rPr>
                <w:rFonts w:hint="eastAsia" w:ascii="宋体" w:hAnsi="宋体"/>
                <w:bCs/>
                <w:color w:val="auto"/>
                <w:sz w:val="24"/>
                <w:szCs w:val="24"/>
                <w:highlight w:val="none"/>
              </w:rPr>
              <w:t>（</w:t>
            </w:r>
            <w:r>
              <w:rPr>
                <w:rFonts w:hint="eastAsia" w:ascii="宋体" w:hAnsi="宋体" w:cs="宋体"/>
                <w:bCs/>
                <w:color w:val="auto"/>
                <w:szCs w:val="21"/>
                <w:highlight w:val="none"/>
              </w:rPr>
              <w:t>满分15分，在总分中扣除，扣完为止</w:t>
            </w:r>
            <w:r>
              <w:rPr>
                <w:rFonts w:hint="eastAsia" w:ascii="宋体" w:hAnsi="宋体"/>
                <w:bCs/>
                <w:color w:val="auto"/>
                <w:sz w:val="24"/>
                <w:szCs w:val="24"/>
                <w:highlight w:val="none"/>
              </w:rPr>
              <w:t>）</w:t>
            </w:r>
          </w:p>
        </w:tc>
        <w:tc>
          <w:tcPr>
            <w:tcW w:w="1627" w:type="dxa"/>
            <w:gridSpan w:val="2"/>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严重失信</w:t>
            </w:r>
          </w:p>
          <w:p>
            <w:pPr>
              <w:jc w:val="center"/>
              <w:rPr>
                <w:rFonts w:ascii="宋体" w:hAnsi="宋体"/>
                <w:bCs/>
                <w:color w:val="auto"/>
                <w:sz w:val="24"/>
                <w:szCs w:val="24"/>
                <w:highlight w:val="none"/>
              </w:rPr>
            </w:pPr>
            <w:r>
              <w:rPr>
                <w:rFonts w:hint="eastAsia" w:ascii="宋体" w:hAnsi="宋体"/>
                <w:bCs/>
                <w:color w:val="auto"/>
                <w:sz w:val="24"/>
                <w:szCs w:val="24"/>
                <w:highlight w:val="none"/>
              </w:rPr>
              <w:t>行为</w:t>
            </w: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SYSJ3-1-1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被司法机关认定有行贿、受贿行为，并构成犯罪</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SYSJ3-1-2</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企业在资质申请、延续、变更中存在造假行为</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SYSJ3-1-3</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与招标人串通投标</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SYSJ3-1-4</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与招标人订立背离合同实质性内容的其他协议</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一般失信</w:t>
            </w:r>
          </w:p>
          <w:p>
            <w:pPr>
              <w:jc w:val="center"/>
              <w:rPr>
                <w:rFonts w:ascii="宋体" w:hAnsi="宋体"/>
                <w:bCs/>
                <w:color w:val="auto"/>
                <w:sz w:val="24"/>
                <w:szCs w:val="24"/>
                <w:highlight w:val="none"/>
              </w:rPr>
            </w:pPr>
            <w:r>
              <w:rPr>
                <w:rFonts w:hint="eastAsia" w:ascii="宋体" w:hAnsi="宋体"/>
                <w:bCs/>
                <w:color w:val="auto"/>
                <w:sz w:val="24"/>
                <w:szCs w:val="24"/>
                <w:highlight w:val="none"/>
              </w:rPr>
              <w:t>行为</w:t>
            </w: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SYSJ3-2-1</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未按规定填报或变更信用信息</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SYSJ3-2-2</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填报或变更信用信息存在造假行为</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SYSJ3-2-3</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弄虚作假或以不正当手段骗取较高信用等级</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SYSJ3-2-4</w:t>
            </w:r>
          </w:p>
        </w:tc>
        <w:tc>
          <w:tcPr>
            <w:tcW w:w="6520"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被省级以上交通运输主管部门</w:t>
            </w:r>
            <w:r>
              <w:rPr>
                <w:rFonts w:hint="eastAsia" w:ascii="宋体" w:hAnsi="宋体"/>
                <w:bCs/>
                <w:strike w:val="0"/>
                <w:dstrike w:val="0"/>
                <w:color w:val="auto"/>
                <w:sz w:val="24"/>
                <w:szCs w:val="24"/>
                <w:highlight w:val="none"/>
              </w:rPr>
              <w:t>或部属单位</w:t>
            </w:r>
            <w:r>
              <w:rPr>
                <w:rFonts w:hint="eastAsia" w:ascii="宋体" w:hAnsi="宋体"/>
                <w:bCs/>
                <w:color w:val="auto"/>
                <w:sz w:val="24"/>
                <w:szCs w:val="24"/>
                <w:highlight w:val="none"/>
              </w:rPr>
              <w:t>通报批评</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SYSJ3-2-5</w:t>
            </w:r>
          </w:p>
        </w:tc>
        <w:tc>
          <w:tcPr>
            <w:tcW w:w="6520" w:type="dxa"/>
            <w:vAlign w:val="center"/>
          </w:tcPr>
          <w:p>
            <w:pPr>
              <w:rPr>
                <w:rFonts w:ascii="宋体" w:hAnsi="宋体"/>
                <w:bCs/>
                <w:color w:val="auto"/>
                <w:sz w:val="24"/>
                <w:szCs w:val="24"/>
                <w:highlight w:val="none"/>
              </w:rPr>
            </w:pPr>
            <w:r>
              <w:rPr>
                <w:rFonts w:hint="eastAsia" w:ascii="宋体" w:hAnsi="宋体" w:cs="宋体"/>
                <w:bCs/>
                <w:color w:val="auto"/>
                <w:sz w:val="24"/>
                <w:szCs w:val="24"/>
                <w:highlight w:val="none"/>
              </w:rPr>
              <w:t>被市级交通运输主管部门</w:t>
            </w:r>
            <w:r>
              <w:rPr>
                <w:rFonts w:hint="eastAsia" w:ascii="宋体" w:hAnsi="宋体"/>
                <w:bCs/>
                <w:color w:val="auto"/>
                <w:sz w:val="24"/>
                <w:szCs w:val="24"/>
                <w:highlight w:val="none"/>
              </w:rPr>
              <w:t>通报批评</w:t>
            </w:r>
          </w:p>
        </w:tc>
        <w:tc>
          <w:tcPr>
            <w:tcW w:w="2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85" w:type="dxa"/>
            <w:vMerge w:val="continue"/>
            <w:vAlign w:val="center"/>
          </w:tcPr>
          <w:p>
            <w:pPr>
              <w:jc w:val="center"/>
              <w:rPr>
                <w:rFonts w:ascii="宋体" w:hAnsi="宋体"/>
                <w:bCs/>
                <w:color w:val="auto"/>
                <w:sz w:val="24"/>
                <w:szCs w:val="24"/>
                <w:highlight w:val="none"/>
              </w:rPr>
            </w:pPr>
          </w:p>
        </w:tc>
        <w:tc>
          <w:tcPr>
            <w:tcW w:w="1627" w:type="dxa"/>
            <w:gridSpan w:val="2"/>
            <w:vMerge w:val="continue"/>
            <w:vAlign w:val="center"/>
          </w:tcPr>
          <w:p>
            <w:pPr>
              <w:jc w:val="center"/>
              <w:rPr>
                <w:rFonts w:ascii="宋体" w:hAnsi="宋体"/>
                <w:bCs/>
                <w:color w:val="auto"/>
                <w:sz w:val="24"/>
                <w:szCs w:val="24"/>
                <w:highlight w:val="none"/>
              </w:rPr>
            </w:pPr>
          </w:p>
        </w:tc>
        <w:tc>
          <w:tcPr>
            <w:tcW w:w="1628" w:type="dxa"/>
            <w:vAlign w:val="center"/>
          </w:tcPr>
          <w:p>
            <w:pPr>
              <w:jc w:val="center"/>
              <w:rPr>
                <w:rFonts w:hint="eastAsia" w:ascii="宋体" w:hAnsi="宋体"/>
                <w:bCs/>
                <w:color w:val="auto"/>
                <w:sz w:val="24"/>
                <w:szCs w:val="24"/>
                <w:highlight w:val="none"/>
              </w:rPr>
            </w:pPr>
            <w:r>
              <w:rPr>
                <w:rFonts w:hint="eastAsia" w:ascii="宋体" w:hAnsi="宋体"/>
                <w:bCs/>
                <w:color w:val="auto"/>
                <w:sz w:val="24"/>
                <w:szCs w:val="24"/>
                <w:highlight w:val="none"/>
              </w:rPr>
              <w:t>SYSJ3-2-6</w:t>
            </w:r>
          </w:p>
        </w:tc>
        <w:tc>
          <w:tcPr>
            <w:tcW w:w="6520" w:type="dxa"/>
            <w:vAlign w:val="center"/>
          </w:tcPr>
          <w:p>
            <w:pPr>
              <w:rPr>
                <w:rFonts w:hint="eastAsia" w:ascii="宋体" w:hAnsi="宋体"/>
                <w:bCs/>
                <w:color w:val="auto"/>
                <w:sz w:val="24"/>
                <w:szCs w:val="24"/>
                <w:highlight w:val="none"/>
              </w:rPr>
            </w:pPr>
            <w:r>
              <w:rPr>
                <w:rFonts w:hint="eastAsia" w:ascii="宋体" w:hAnsi="宋体"/>
                <w:bCs/>
                <w:color w:val="auto"/>
                <w:sz w:val="24"/>
                <w:szCs w:val="24"/>
                <w:highlight w:val="none"/>
              </w:rPr>
              <w:t>其他被认定的失信行为</w:t>
            </w:r>
          </w:p>
        </w:tc>
        <w:tc>
          <w:tcPr>
            <w:tcW w:w="2709" w:type="dxa"/>
            <w:vAlign w:val="center"/>
          </w:tcPr>
          <w:p>
            <w:pPr>
              <w:jc w:val="center"/>
              <w:rPr>
                <w:rFonts w:hint="eastAsia" w:ascii="宋体" w:hAnsi="宋体"/>
                <w:bCs/>
                <w:color w:val="auto"/>
                <w:sz w:val="24"/>
                <w:szCs w:val="24"/>
                <w:highlight w:val="none"/>
              </w:rPr>
            </w:pPr>
            <w:r>
              <w:rPr>
                <w:rFonts w:hint="eastAsia" w:ascii="宋体" w:hAnsi="宋体"/>
                <w:bCs/>
                <w:color w:val="auto"/>
                <w:sz w:val="24"/>
                <w:szCs w:val="24"/>
                <w:highlight w:val="none"/>
              </w:rPr>
              <w:t>1-4分</w:t>
            </w:r>
          </w:p>
        </w:tc>
      </w:tr>
    </w:tbl>
    <w:p>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注：1.“其他被认定的失信行为”是指由</w:t>
      </w:r>
      <w:r>
        <w:rPr>
          <w:rFonts w:hint="eastAsia" w:ascii="宋体" w:hAnsi="宋体"/>
          <w:bCs/>
          <w:color w:val="auto"/>
          <w:sz w:val="24"/>
          <w:szCs w:val="24"/>
          <w:highlight w:val="none"/>
          <w:lang w:eastAsia="zh-CN"/>
        </w:rPr>
        <w:t>州、市</w:t>
      </w:r>
      <w:r>
        <w:rPr>
          <w:rFonts w:hint="eastAsia" w:ascii="宋体" w:hAnsi="宋体"/>
          <w:bCs/>
          <w:color w:val="auto"/>
          <w:sz w:val="24"/>
          <w:szCs w:val="24"/>
          <w:highlight w:val="none"/>
        </w:rPr>
        <w:t>级以上交通运输主管部门依据法律法规认定的企业其他失信行为。</w:t>
      </w:r>
    </w:p>
    <w:p>
      <w:pPr>
        <w:spacing w:line="360" w:lineRule="auto"/>
        <w:ind w:left="892" w:leftChars="200" w:hanging="472" w:hangingChars="197"/>
        <w:rPr>
          <w:rFonts w:hint="eastAsia" w:ascii="宋体" w:hAnsi="宋体"/>
          <w:bCs/>
          <w:color w:val="auto"/>
          <w:sz w:val="24"/>
          <w:szCs w:val="24"/>
          <w:highlight w:val="none"/>
        </w:rPr>
      </w:pPr>
      <w:r>
        <w:rPr>
          <w:rFonts w:hint="eastAsia" w:ascii="宋体" w:hAnsi="宋体"/>
          <w:bCs/>
          <w:color w:val="auto"/>
          <w:sz w:val="24"/>
          <w:szCs w:val="24"/>
          <w:highlight w:val="none"/>
        </w:rPr>
        <w:t xml:space="preserve"> 2.SYSJ2-1-2 、SYSJ2-3-1、SYSJ2-3-2、SYSJ2-3-3、SYSJ2-3-6应依据有关部门的事故调查处理结果认定。质量事故、安全事故的等级划分标准执行《生产安全事故报告和调查处理条例》（国务院第493号令）、《</w:t>
      </w:r>
      <w:r>
        <w:rPr>
          <w:rFonts w:hint="eastAsia" w:ascii="宋体" w:hAnsi="宋体"/>
          <w:bCs/>
          <w:color w:val="auto"/>
          <w:sz w:val="24"/>
          <w:szCs w:val="24"/>
          <w:highlight w:val="none"/>
          <w:lang w:eastAsia="zh-CN"/>
        </w:rPr>
        <w:t>公路</w:t>
      </w:r>
      <w:r>
        <w:rPr>
          <w:rFonts w:hint="eastAsia" w:ascii="宋体" w:hAnsi="宋体"/>
          <w:bCs/>
          <w:color w:val="auto"/>
          <w:sz w:val="24"/>
          <w:szCs w:val="24"/>
          <w:highlight w:val="none"/>
        </w:rPr>
        <w:t>水运建设工程质量事故等级划分和报告制度》（交办安监〔2016〕146号）等。</w:t>
      </w:r>
    </w:p>
    <w:p>
      <w:pPr>
        <w:spacing w:line="360" w:lineRule="auto"/>
        <w:rPr>
          <w:rFonts w:ascii="宋体" w:hAnsi="宋体" w:cs="Tahoma"/>
          <w:bCs/>
          <w:color w:val="auto"/>
          <w:sz w:val="24"/>
          <w:szCs w:val="24"/>
          <w:highlight w:val="none"/>
        </w:rPr>
      </w:pPr>
      <w:r>
        <w:rPr>
          <w:rFonts w:hint="eastAsia" w:ascii="宋体" w:hAnsi="宋体"/>
          <w:bCs/>
          <w:color w:val="auto"/>
          <w:sz w:val="24"/>
          <w:szCs w:val="24"/>
          <w:highlight w:val="none"/>
        </w:rPr>
        <w:t xml:space="preserve">    3.SYSJ2-2-1、SYSJ2-2-3主要包括</w:t>
      </w:r>
      <w:r>
        <w:rPr>
          <w:rFonts w:hint="eastAsia" w:ascii="宋体" w:hAnsi="宋体" w:cs="Tahoma"/>
          <w:bCs/>
          <w:color w:val="auto"/>
          <w:sz w:val="24"/>
          <w:szCs w:val="24"/>
          <w:highlight w:val="none"/>
        </w:rPr>
        <w:t>以下情形：</w:t>
      </w:r>
    </w:p>
    <w:p>
      <w:pPr>
        <w:spacing w:line="360" w:lineRule="auto"/>
        <w:ind w:firstLine="837" w:firstLineChars="349"/>
        <w:rPr>
          <w:rFonts w:ascii="宋体" w:hAnsi="宋体" w:cs="Tahoma"/>
          <w:bCs/>
          <w:color w:val="auto"/>
          <w:sz w:val="24"/>
          <w:szCs w:val="24"/>
          <w:highlight w:val="none"/>
        </w:rPr>
      </w:pPr>
      <w:r>
        <w:rPr>
          <w:rFonts w:hint="eastAsia" w:ascii="宋体" w:hAnsi="宋体" w:cs="Tahoma"/>
          <w:bCs/>
          <w:color w:val="auto"/>
          <w:sz w:val="24"/>
          <w:szCs w:val="24"/>
          <w:highlight w:val="none"/>
        </w:rPr>
        <w:t>（1）配备的项目负责人或专业负责人低于投标承诺的条件（包括职称、业绩、资历等）；</w:t>
      </w:r>
    </w:p>
    <w:p>
      <w:pPr>
        <w:spacing w:line="360" w:lineRule="auto"/>
        <w:ind w:firstLine="837" w:firstLineChars="349"/>
        <w:rPr>
          <w:rFonts w:ascii="宋体" w:hAnsi="宋体" w:cs="Tahoma"/>
          <w:bCs/>
          <w:color w:val="auto"/>
          <w:sz w:val="24"/>
          <w:szCs w:val="24"/>
          <w:highlight w:val="none"/>
        </w:rPr>
      </w:pPr>
      <w:r>
        <w:rPr>
          <w:rFonts w:hint="eastAsia" w:ascii="宋体" w:hAnsi="宋体" w:cs="Tahoma"/>
          <w:bCs/>
          <w:color w:val="auto"/>
          <w:sz w:val="24"/>
          <w:szCs w:val="24"/>
          <w:highlight w:val="none"/>
        </w:rPr>
        <w:t>（2）配备的项目负责人或专业负责人不低于投标承诺的条件，但未经项目法人同意进行更换；</w:t>
      </w:r>
    </w:p>
    <w:p>
      <w:pPr>
        <w:spacing w:line="360" w:lineRule="auto"/>
        <w:ind w:left="1406" w:leftChars="384" w:hanging="600" w:hangingChars="250"/>
        <w:rPr>
          <w:rFonts w:ascii="宋体" w:hAnsi="宋体" w:cs="Tahoma"/>
          <w:bCs/>
          <w:color w:val="auto"/>
          <w:sz w:val="24"/>
          <w:szCs w:val="24"/>
          <w:highlight w:val="none"/>
        </w:rPr>
      </w:pPr>
      <w:r>
        <w:rPr>
          <w:rFonts w:hint="eastAsia" w:ascii="宋体" w:hAnsi="宋体" w:cs="Tahoma"/>
          <w:bCs/>
          <w:color w:val="auto"/>
          <w:sz w:val="24"/>
          <w:szCs w:val="24"/>
          <w:highlight w:val="none"/>
        </w:rPr>
        <w:t>（3）配备的项目负责人或专业负责人不低于投标承诺的条件，虽经过项目法人同意进行更换，但同一岗位更换人次数达到两次以上，从第二次变更开始扣分。</w:t>
      </w:r>
    </w:p>
    <w:p>
      <w:pPr>
        <w:spacing w:line="360" w:lineRule="auto"/>
        <w:ind w:left="933" w:leftChars="330" w:hanging="240" w:hangingChars="100"/>
        <w:rPr>
          <w:rFonts w:ascii="宋体" w:hAnsi="宋体" w:cs="Tahoma"/>
          <w:bCs/>
          <w:color w:val="auto"/>
          <w:sz w:val="24"/>
          <w:szCs w:val="24"/>
          <w:highlight w:val="none"/>
        </w:rPr>
      </w:pPr>
      <w:r>
        <w:rPr>
          <w:rFonts w:hint="eastAsia" w:ascii="宋体" w:hAnsi="宋体" w:cs="Tahoma"/>
          <w:bCs/>
          <w:color w:val="auto"/>
          <w:sz w:val="24"/>
          <w:szCs w:val="24"/>
          <w:highlight w:val="none"/>
        </w:rPr>
        <w:t>4.SYSJ2-4-2</w:t>
      </w:r>
      <w:r>
        <w:rPr>
          <w:rFonts w:hint="eastAsia" w:ascii="宋体" w:hAnsi="宋体"/>
          <w:bCs/>
          <w:color w:val="auto"/>
          <w:sz w:val="24"/>
          <w:szCs w:val="24"/>
          <w:highlight w:val="none"/>
        </w:rPr>
        <w:t>应依据有关部门的事故调查处理结果认定。</w:t>
      </w:r>
      <w:r>
        <w:rPr>
          <w:rFonts w:hint="eastAsia" w:ascii="宋体" w:hAnsi="宋体" w:cs="Tahoma"/>
          <w:bCs/>
          <w:color w:val="auto"/>
          <w:sz w:val="24"/>
          <w:szCs w:val="24"/>
          <w:highlight w:val="none"/>
        </w:rPr>
        <w:t>环境污染事故的等级划分标准执行《突发环境事件信息报告办法》（环境保护部</w:t>
      </w:r>
      <w:r>
        <w:rPr>
          <w:rFonts w:hint="eastAsia" w:ascii="宋体" w:hAnsi="宋体"/>
          <w:bCs/>
          <w:color w:val="auto"/>
          <w:sz w:val="24"/>
          <w:szCs w:val="24"/>
          <w:highlight w:val="none"/>
        </w:rPr>
        <w:t>2011年第17号令</w:t>
      </w:r>
      <w:r>
        <w:rPr>
          <w:rFonts w:hint="eastAsia" w:ascii="宋体" w:hAnsi="宋体" w:cs="Tahoma"/>
          <w:bCs/>
          <w:color w:val="auto"/>
          <w:sz w:val="24"/>
          <w:szCs w:val="24"/>
          <w:highlight w:val="none"/>
        </w:rPr>
        <w:t>）。</w:t>
      </w:r>
    </w:p>
    <w:p>
      <w:pPr>
        <w:spacing w:line="360" w:lineRule="auto"/>
        <w:ind w:firstLine="720" w:firstLineChars="300"/>
        <w:rPr>
          <w:rFonts w:hint="eastAsia" w:ascii="宋体" w:hAnsi="宋体" w:cs="Tahoma"/>
          <w:bCs/>
          <w:color w:val="auto"/>
          <w:sz w:val="24"/>
          <w:szCs w:val="24"/>
          <w:highlight w:val="none"/>
        </w:rPr>
      </w:pPr>
      <w:r>
        <w:rPr>
          <w:rFonts w:hint="eastAsia" w:ascii="宋体" w:hAnsi="宋体" w:cs="Tahoma"/>
          <w:bCs/>
          <w:color w:val="auto"/>
          <w:sz w:val="24"/>
          <w:szCs w:val="24"/>
          <w:highlight w:val="none"/>
        </w:rPr>
        <w:t>5.SYSJ3-1-1是指在项目所在省份从事水运工程设计活动中发生的单位行贿、受贿行为。</w:t>
      </w:r>
    </w:p>
    <w:p>
      <w:pPr>
        <w:spacing w:line="360" w:lineRule="auto"/>
        <w:ind w:left="933" w:leftChars="330" w:hanging="240" w:hangingChars="100"/>
        <w:rPr>
          <w:rFonts w:ascii="宋体" w:hAnsi="宋体"/>
          <w:bCs/>
          <w:color w:val="auto"/>
          <w:sz w:val="24"/>
          <w:szCs w:val="24"/>
          <w:highlight w:val="none"/>
        </w:rPr>
      </w:pPr>
      <w:r>
        <w:rPr>
          <w:rFonts w:hint="eastAsia" w:ascii="宋体" w:hAnsi="宋体" w:cs="Tahoma"/>
          <w:bCs/>
          <w:color w:val="auto"/>
          <w:sz w:val="24"/>
          <w:szCs w:val="24"/>
          <w:highlight w:val="none"/>
          <w:lang w:val="en-US" w:eastAsia="zh-CN"/>
        </w:rPr>
        <w:t>6</w:t>
      </w:r>
      <w:r>
        <w:rPr>
          <w:rFonts w:hint="eastAsia" w:ascii="宋体" w:hAnsi="宋体" w:cs="Tahoma"/>
          <w:bCs/>
          <w:color w:val="auto"/>
          <w:sz w:val="24"/>
          <w:szCs w:val="24"/>
          <w:highlight w:val="none"/>
        </w:rPr>
        <w:t>.SYSJ3-2-4、SYSJ3-2-5当</w:t>
      </w:r>
      <w:r>
        <w:rPr>
          <w:rFonts w:hint="eastAsia" w:ascii="宋体" w:hAnsi="宋体"/>
          <w:bCs/>
          <w:color w:val="auto"/>
          <w:sz w:val="24"/>
          <w:szCs w:val="24"/>
          <w:highlight w:val="none"/>
        </w:rPr>
        <w:t>被</w:t>
      </w:r>
      <w:r>
        <w:rPr>
          <w:rFonts w:hint="eastAsia" w:ascii="宋体" w:hAnsi="宋体"/>
          <w:bCs/>
          <w:color w:val="auto"/>
          <w:sz w:val="24"/>
          <w:szCs w:val="24"/>
          <w:highlight w:val="none"/>
          <w:lang w:eastAsia="zh-CN"/>
        </w:rPr>
        <w:t>州、市</w:t>
      </w:r>
      <w:r>
        <w:rPr>
          <w:rFonts w:hint="eastAsia" w:ascii="宋体" w:hAnsi="宋体"/>
          <w:bCs/>
          <w:color w:val="auto"/>
          <w:sz w:val="24"/>
          <w:szCs w:val="24"/>
          <w:highlight w:val="none"/>
        </w:rPr>
        <w:t>级</w:t>
      </w:r>
      <w:r>
        <w:rPr>
          <w:rFonts w:hint="eastAsia" w:ascii="宋体" w:hAnsi="宋体"/>
          <w:bCs/>
          <w:color w:val="auto"/>
          <w:sz w:val="24"/>
          <w:szCs w:val="24"/>
          <w:highlight w:val="none"/>
          <w:lang w:eastAsia="zh-CN"/>
        </w:rPr>
        <w:t>及</w:t>
      </w:r>
      <w:r>
        <w:rPr>
          <w:rFonts w:hint="eastAsia" w:ascii="宋体" w:hAnsi="宋体"/>
          <w:bCs/>
          <w:color w:val="auto"/>
          <w:sz w:val="24"/>
          <w:szCs w:val="24"/>
          <w:highlight w:val="none"/>
        </w:rPr>
        <w:t>以上交通运输主管部门通报批评，涉及标准中的具体失信行为时，不重复扣分，按“就高不就低”原则执行。</w:t>
      </w:r>
    </w:p>
    <w:p>
      <w:pPr>
        <w:spacing w:line="360" w:lineRule="auto"/>
        <w:ind w:left="933" w:leftChars="330" w:hanging="240" w:hangingChars="100"/>
        <w:rPr>
          <w:rFonts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.扣分 “次”是指在评价期内发现的企业失信行为次数。企业失信行为能够整改的，整改期内不重复扣分，整改期满后，未整改或再次发生同一失信行为，可再次扣分；无法整改的，同一事件不重复扣分。</w:t>
      </w:r>
    </w:p>
    <w:p>
      <w:pPr>
        <w:widowControl/>
        <w:shd w:val="clear" w:color="auto" w:fill="FFFFFF"/>
        <w:spacing w:line="480" w:lineRule="exact"/>
        <w:jc w:val="left"/>
        <w:rPr>
          <w:rFonts w:hint="eastAsia" w:ascii="宋体" w:hAnsi="宋体" w:cs="宋体"/>
          <w:bCs/>
          <w:color w:val="auto"/>
          <w:kern w:val="0"/>
          <w:sz w:val="28"/>
          <w:szCs w:val="28"/>
          <w:highlight w:val="none"/>
        </w:rPr>
        <w:sectPr>
          <w:footerReference r:id="rId4" w:type="default"/>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tabs>
          <w:tab w:val="left" w:pos="13230"/>
        </w:tabs>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Cs/>
          <w:color w:val="auto"/>
          <w:sz w:val="32"/>
          <w:szCs w:val="32"/>
          <w:highlight w:val="none"/>
        </w:rPr>
      </w:pPr>
      <w:r>
        <w:rPr>
          <w:rFonts w:hint="eastAsia" w:ascii="方正黑体_GBK" w:hAnsi="方正黑体_GBK" w:eastAsia="方正黑体_GBK" w:cs="方正黑体_GBK"/>
          <w:bCs/>
          <w:color w:val="auto"/>
          <w:sz w:val="32"/>
          <w:szCs w:val="32"/>
          <w:highlight w:val="none"/>
        </w:rPr>
        <w:t>附件2</w:t>
      </w:r>
    </w:p>
    <w:p>
      <w:pPr>
        <w:ind w:firstLine="568"/>
        <w:jc w:val="center"/>
        <w:rPr>
          <w:rFonts w:ascii="宋体" w:hAnsi="宋体"/>
          <w:bCs/>
          <w:color w:val="auto"/>
          <w:sz w:val="36"/>
          <w:szCs w:val="36"/>
          <w:highlight w:val="none"/>
        </w:rPr>
      </w:pPr>
      <w:r>
        <w:rPr>
          <w:rFonts w:hint="eastAsia" w:ascii="方正小标宋_GBK" w:hAnsi="方正小标宋_GBK" w:eastAsia="方正小标宋_GBK" w:cs="方正小标宋_GBK"/>
          <w:bCs/>
          <w:color w:val="auto"/>
          <w:sz w:val="36"/>
          <w:szCs w:val="36"/>
          <w:highlight w:val="none"/>
          <w:lang w:eastAsia="zh-CN"/>
        </w:rPr>
        <w:t>云南省</w:t>
      </w:r>
      <w:r>
        <w:rPr>
          <w:rFonts w:hint="eastAsia" w:ascii="方正小标宋_GBK" w:hAnsi="方正小标宋_GBK" w:eastAsia="方正小标宋_GBK" w:cs="方正小标宋_GBK"/>
          <w:bCs/>
          <w:color w:val="auto"/>
          <w:sz w:val="36"/>
          <w:szCs w:val="36"/>
          <w:highlight w:val="none"/>
        </w:rPr>
        <w:t>水运工程施工企业信用行为评定标准</w:t>
      </w:r>
    </w:p>
    <w:tbl>
      <w:tblPr>
        <w:tblStyle w:val="10"/>
        <w:tblW w:w="1368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091"/>
        <w:gridCol w:w="1485"/>
        <w:gridCol w:w="695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1238"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评定内容</w:t>
            </w:r>
          </w:p>
        </w:tc>
        <w:tc>
          <w:tcPr>
            <w:tcW w:w="2576" w:type="dxa"/>
            <w:gridSpan w:val="2"/>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行为代码</w:t>
            </w:r>
          </w:p>
        </w:tc>
        <w:tc>
          <w:tcPr>
            <w:tcW w:w="6951"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失信行为</w:t>
            </w:r>
          </w:p>
        </w:tc>
        <w:tc>
          <w:tcPr>
            <w:tcW w:w="2919" w:type="dxa"/>
            <w:vAlign w:val="center"/>
          </w:tcPr>
          <w:p>
            <w:pPr>
              <w:ind w:left="-106" w:leftChars="-51" w:right="-124" w:rightChars="-59" w:hanging="1"/>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行为等级和扣分标准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restart"/>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投标行为</w:t>
            </w:r>
          </w:p>
          <w:p>
            <w:pPr>
              <w:ind w:left="-145" w:leftChars="-69" w:right="-107" w:rightChars="-51"/>
              <w:jc w:val="center"/>
              <w:rPr>
                <w:rFonts w:ascii="宋体" w:hAnsi="宋体" w:cs="宋体"/>
                <w:bCs/>
                <w:color w:val="auto"/>
                <w:sz w:val="24"/>
                <w:szCs w:val="24"/>
                <w:highlight w:val="none"/>
              </w:rPr>
            </w:pPr>
            <w:r>
              <w:rPr>
                <w:rFonts w:hint="eastAsia" w:ascii="宋体" w:hAnsi="宋体" w:cs="宋体"/>
                <w:bCs/>
                <w:color w:val="auto"/>
                <w:szCs w:val="21"/>
                <w:highlight w:val="none"/>
              </w:rPr>
              <w:t>（满分15分，扣完为止）</w:t>
            </w:r>
          </w:p>
        </w:tc>
        <w:tc>
          <w:tcPr>
            <w:tcW w:w="1091" w:type="dxa"/>
            <w:vMerge w:val="restart"/>
            <w:vAlign w:val="center"/>
          </w:tcPr>
          <w:p>
            <w:pPr>
              <w:jc w:val="center"/>
              <w:rPr>
                <w:rFonts w:ascii="宋体" w:hAnsi="宋体" w:cs="宋体"/>
                <w:bCs/>
                <w:color w:val="auto"/>
                <w:szCs w:val="21"/>
                <w:highlight w:val="none"/>
              </w:rPr>
            </w:pPr>
            <w:r>
              <w:rPr>
                <w:rFonts w:hint="eastAsia" w:ascii="宋体" w:hAnsi="宋体"/>
                <w:bCs/>
                <w:color w:val="auto"/>
                <w:sz w:val="24"/>
                <w:szCs w:val="24"/>
                <w:highlight w:val="none"/>
              </w:rPr>
              <w:t>严重失信行为</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SYSG1-1-1</w:t>
            </w:r>
          </w:p>
        </w:tc>
        <w:tc>
          <w:tcPr>
            <w:tcW w:w="6951"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涂改、伪造、出借、转让资质证书</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SYSG1-1-2</w:t>
            </w:r>
          </w:p>
        </w:tc>
        <w:tc>
          <w:tcPr>
            <w:tcW w:w="6951"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以他人名义投标或者以其他方式弄虚作假，骗取中标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SYSG1-1-3</w:t>
            </w:r>
          </w:p>
        </w:tc>
        <w:tc>
          <w:tcPr>
            <w:tcW w:w="6951"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超越本单位资质等级承揽工程</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SYSG1-1-4</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投标人之间相互串通投标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SYSG1-1-5</w:t>
            </w:r>
          </w:p>
        </w:tc>
        <w:tc>
          <w:tcPr>
            <w:tcW w:w="6951"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向招标人或者评标委员会成员行贿谋取中标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restart"/>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一般失信行为</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SYSG1-2-1</w:t>
            </w:r>
          </w:p>
        </w:tc>
        <w:tc>
          <w:tcPr>
            <w:tcW w:w="6951" w:type="dxa"/>
            <w:vAlign w:val="center"/>
          </w:tcPr>
          <w:p>
            <w:pPr>
              <w:rPr>
                <w:rFonts w:ascii="宋体" w:hAnsi="宋体"/>
                <w:bCs/>
                <w:color w:val="auto"/>
                <w:sz w:val="24"/>
                <w:szCs w:val="24"/>
                <w:highlight w:val="none"/>
              </w:rPr>
            </w:pPr>
            <w:r>
              <w:rPr>
                <w:rFonts w:hint="eastAsia" w:ascii="宋体" w:hAnsi="宋体" w:cs="宋体"/>
                <w:bCs/>
                <w:color w:val="auto"/>
                <w:sz w:val="24"/>
                <w:szCs w:val="24"/>
                <w:highlight w:val="none"/>
              </w:rPr>
              <w:t>资格预审申请文件或投标文件存在严重造假行为，事实认定清楚</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SYSG1-2-2</w:t>
            </w:r>
          </w:p>
        </w:tc>
        <w:tc>
          <w:tcPr>
            <w:tcW w:w="6951" w:type="dxa"/>
            <w:vAlign w:val="center"/>
          </w:tcPr>
          <w:p>
            <w:pPr>
              <w:rPr>
                <w:rFonts w:ascii="宋体" w:hAnsi="宋体"/>
                <w:bCs/>
                <w:color w:val="auto"/>
                <w:sz w:val="24"/>
                <w:szCs w:val="24"/>
                <w:highlight w:val="none"/>
              </w:rPr>
            </w:pPr>
            <w:r>
              <w:rPr>
                <w:rFonts w:hint="eastAsia" w:ascii="宋体" w:hAnsi="宋体" w:cs="宋体"/>
                <w:bCs/>
                <w:color w:val="auto"/>
                <w:sz w:val="24"/>
                <w:szCs w:val="24"/>
                <w:highlight w:val="none"/>
              </w:rPr>
              <w:t>中标后无正当理由放弃中标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SYSG1-2-3</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highlight w:val="none"/>
              </w:rPr>
              <w:t>捏造事实、伪造材料或者以非法手段取得证明材料，进行虚假、恶意投诉</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SYSG1-2-4</w:t>
            </w:r>
          </w:p>
        </w:tc>
        <w:tc>
          <w:tcPr>
            <w:tcW w:w="6951" w:type="dxa"/>
            <w:vAlign w:val="center"/>
          </w:tcPr>
          <w:p>
            <w:pPr>
              <w:rPr>
                <w:rFonts w:ascii="宋体" w:hAnsi="宋体"/>
                <w:bCs/>
                <w:color w:val="auto"/>
                <w:sz w:val="24"/>
                <w:szCs w:val="24"/>
                <w:highlight w:val="none"/>
              </w:rPr>
            </w:pPr>
            <w:r>
              <w:rPr>
                <w:rFonts w:hint="eastAsia" w:ascii="宋体" w:hAnsi="宋体" w:cs="宋体"/>
                <w:bCs/>
                <w:color w:val="auto"/>
                <w:sz w:val="24"/>
                <w:szCs w:val="24"/>
                <w:highlight w:val="none"/>
              </w:rPr>
              <w:t>其他被认定的失信行为</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restart"/>
            <w:vAlign w:val="center"/>
          </w:tcPr>
          <w:p>
            <w:pPr>
              <w:ind w:left="-2" w:leftChars="-2" w:hanging="2" w:hangingChars="1"/>
              <w:jc w:val="center"/>
              <w:rPr>
                <w:rFonts w:ascii="宋体" w:hAnsi="宋体" w:cs="宋体"/>
                <w:bCs/>
                <w:color w:val="auto"/>
                <w:sz w:val="24"/>
                <w:szCs w:val="24"/>
                <w:highlight w:val="none"/>
              </w:rPr>
            </w:pPr>
          </w:p>
          <w:p>
            <w:pPr>
              <w:ind w:left="-2" w:leftChars="-2" w:hanging="2" w:hangingChars="1"/>
              <w:jc w:val="center"/>
              <w:rPr>
                <w:rFonts w:ascii="宋体" w:hAnsi="宋体" w:cs="宋体"/>
                <w:bCs/>
                <w:color w:val="auto"/>
                <w:sz w:val="24"/>
                <w:szCs w:val="24"/>
                <w:highlight w:val="none"/>
              </w:rPr>
            </w:pPr>
          </w:p>
          <w:p>
            <w:pPr>
              <w:ind w:left="-2" w:leftChars="-2" w:hanging="2" w:hangingChars="1"/>
              <w:jc w:val="center"/>
              <w:rPr>
                <w:rFonts w:ascii="宋体" w:hAnsi="宋体" w:cs="宋体"/>
                <w:bCs/>
                <w:color w:val="auto"/>
                <w:sz w:val="24"/>
                <w:szCs w:val="24"/>
                <w:highlight w:val="none"/>
              </w:rPr>
            </w:pPr>
          </w:p>
          <w:p>
            <w:pPr>
              <w:ind w:left="-2" w:leftChars="-2" w:hanging="2" w:hangingChars="1"/>
              <w:jc w:val="center"/>
              <w:rPr>
                <w:rFonts w:ascii="宋体" w:hAnsi="宋体" w:cs="宋体"/>
                <w:bCs/>
                <w:color w:val="auto"/>
                <w:sz w:val="24"/>
                <w:szCs w:val="24"/>
                <w:highlight w:val="none"/>
              </w:rPr>
            </w:pPr>
          </w:p>
          <w:p>
            <w:pPr>
              <w:ind w:left="-2" w:leftChars="-2" w:hanging="2" w:hangingChars="1"/>
              <w:jc w:val="center"/>
              <w:rPr>
                <w:rFonts w:ascii="宋体" w:hAnsi="宋体" w:cs="宋体"/>
                <w:bCs/>
                <w:color w:val="auto"/>
                <w:sz w:val="24"/>
                <w:szCs w:val="24"/>
                <w:highlight w:val="none"/>
              </w:rPr>
            </w:pPr>
          </w:p>
          <w:p>
            <w:pPr>
              <w:ind w:left="-2" w:leftChars="-2" w:hanging="2" w:hangingChars="1"/>
              <w:jc w:val="center"/>
              <w:rPr>
                <w:rFonts w:ascii="宋体" w:hAnsi="宋体" w:cs="宋体"/>
                <w:bCs/>
                <w:color w:val="auto"/>
                <w:sz w:val="24"/>
                <w:szCs w:val="24"/>
                <w:highlight w:val="none"/>
              </w:rPr>
            </w:pPr>
          </w:p>
          <w:p>
            <w:pPr>
              <w:ind w:left="-2" w:leftChars="-2" w:hanging="2" w:hangingChars="1"/>
              <w:jc w:val="center"/>
              <w:rPr>
                <w:rFonts w:ascii="宋体" w:hAnsi="宋体" w:cs="宋体"/>
                <w:bCs/>
                <w:color w:val="auto"/>
                <w:sz w:val="24"/>
                <w:szCs w:val="24"/>
                <w:highlight w:val="none"/>
              </w:rPr>
            </w:pPr>
            <w:r>
              <w:rPr>
                <w:rFonts w:hint="eastAsia" w:ascii="宋体" w:hAnsi="宋体" w:cs="宋体"/>
                <w:bCs/>
                <w:color w:val="auto"/>
                <w:sz w:val="24"/>
                <w:szCs w:val="24"/>
                <w:highlight w:val="none"/>
              </w:rPr>
              <w:t>履约行为</w:t>
            </w:r>
          </w:p>
          <w:p>
            <w:pPr>
              <w:ind w:leftChars="-69" w:right="-107" w:rightChars="-51" w:hanging="144" w:hangingChars="69"/>
              <w:jc w:val="center"/>
              <w:rPr>
                <w:rFonts w:ascii="宋体" w:hAnsi="宋体" w:cs="宋体"/>
                <w:bCs/>
                <w:color w:val="auto"/>
                <w:sz w:val="24"/>
                <w:szCs w:val="24"/>
                <w:highlight w:val="none"/>
              </w:rPr>
            </w:pPr>
            <w:r>
              <w:rPr>
                <w:rFonts w:hint="eastAsia" w:ascii="宋体" w:hAnsi="宋体" w:cs="宋体"/>
                <w:bCs/>
                <w:color w:val="auto"/>
                <w:szCs w:val="21"/>
                <w:highlight w:val="none"/>
              </w:rPr>
              <w:t>（满分70分，扣完为止）</w:t>
            </w:r>
          </w:p>
        </w:tc>
        <w:tc>
          <w:tcPr>
            <w:tcW w:w="1091" w:type="dxa"/>
            <w:vMerge w:val="restart"/>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严重失信行为</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SYSG2-1-1</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向他人转让中标项目，或将中标项目肢解后分别向他人转让项目</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SYSG2-1-2</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发生重大质量事故（二级以上）或重大以上等级安全生产责任事故</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SYSG2-1-3</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发生重大质量事故或</w:t>
            </w:r>
            <w:r>
              <w:rPr>
                <w:rFonts w:hint="eastAsia" w:ascii="宋体" w:hAnsi="宋体" w:cs="宋体"/>
                <w:bCs/>
                <w:color w:val="auto"/>
                <w:sz w:val="24"/>
                <w:szCs w:val="24"/>
                <w:highlight w:val="none"/>
              </w:rPr>
              <w:t>较大以上等级</w:t>
            </w:r>
            <w:r>
              <w:rPr>
                <w:rFonts w:hint="eastAsia" w:ascii="宋体" w:hAnsi="宋体"/>
                <w:bCs/>
                <w:color w:val="auto"/>
                <w:sz w:val="24"/>
                <w:szCs w:val="24"/>
                <w:highlight w:val="none"/>
              </w:rPr>
              <w:t>安全生产责任事故隐瞒不报、谎报或拖延报告期限</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restart"/>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人员设备到位情况</w:t>
            </w:r>
          </w:p>
          <w:p>
            <w:pPr>
              <w:ind w:left="35" w:leftChars="-32" w:right="-107" w:rightChars="-51" w:hanging="102" w:hangingChars="49"/>
              <w:jc w:val="center"/>
              <w:rPr>
                <w:rFonts w:ascii="宋体" w:hAnsi="宋体" w:cs="宋体"/>
                <w:bCs/>
                <w:color w:val="auto"/>
                <w:szCs w:val="21"/>
                <w:highlight w:val="none"/>
              </w:rPr>
            </w:pPr>
            <w:r>
              <w:rPr>
                <w:rFonts w:hint="eastAsia" w:ascii="宋体" w:hAnsi="宋体" w:cs="宋体"/>
                <w:bCs/>
                <w:color w:val="auto"/>
                <w:szCs w:val="21"/>
                <w:highlight w:val="none"/>
              </w:rPr>
              <w:t>（满分5分，扣完为止）</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SYSG2-2-1</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项目经理、技术负责人未按投标承诺的条件配备或未经项目法人批准擅自更换</w:t>
            </w:r>
          </w:p>
        </w:tc>
        <w:tc>
          <w:tcPr>
            <w:tcW w:w="2919" w:type="dxa"/>
            <w:vAlign w:val="center"/>
          </w:tcPr>
          <w:p>
            <w:pPr>
              <w:jc w:val="center"/>
              <w:rPr>
                <w:rFonts w:ascii="宋体" w:hAnsi="宋体" w:cs="宋体"/>
                <w:bCs/>
                <w:color w:val="auto"/>
                <w:szCs w:val="21"/>
                <w:highlight w:val="none"/>
              </w:rPr>
            </w:pPr>
            <w:r>
              <w:rPr>
                <w:rFonts w:hint="eastAsia" w:ascii="宋体" w:hAnsi="宋体" w:cs="宋体"/>
                <w:bCs/>
                <w:color w:val="auto"/>
                <w:sz w:val="24"/>
                <w:szCs w:val="24"/>
                <w:highlight w:val="none"/>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SYSG2-2-2</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pacing w:val="-4"/>
                <w:sz w:val="24"/>
                <w:szCs w:val="24"/>
                <w:highlight w:val="none"/>
              </w:rPr>
              <w:t>关键施工机械、设备未按投标承诺或工程需要到位，影响工程施工</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1分/台（艘）次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restart"/>
            <w:tcBorders>
              <w:top w:val="single" w:color="auto" w:sz="4" w:space="0"/>
              <w:right w:val="single" w:color="auto" w:sz="4" w:space="0"/>
            </w:tcBorders>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质量进度与费用管理</w:t>
            </w:r>
          </w:p>
          <w:p>
            <w:pPr>
              <w:jc w:val="center"/>
              <w:rPr>
                <w:rFonts w:ascii="宋体" w:hAnsi="宋体" w:cs="宋体"/>
                <w:bCs/>
                <w:color w:val="auto"/>
                <w:szCs w:val="21"/>
                <w:highlight w:val="none"/>
              </w:rPr>
            </w:pPr>
            <w:r>
              <w:rPr>
                <w:rFonts w:hint="eastAsia" w:ascii="宋体" w:hAnsi="宋体" w:cs="宋体"/>
                <w:bCs/>
                <w:color w:val="auto"/>
                <w:szCs w:val="21"/>
                <w:highlight w:val="none"/>
              </w:rPr>
              <w:t>(满分40分，扣完为止）</w:t>
            </w: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SYSG2-3-1</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将承包工程违法分包</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top w:val="single" w:color="auto" w:sz="4" w:space="0"/>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SYSG2-3-2</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由于施工企业原因导致合同终止</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top w:val="single" w:color="auto" w:sz="4" w:space="0"/>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SYSG2-3-3</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未按照强制性标准进行施工</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top w:val="single" w:color="auto" w:sz="4" w:space="0"/>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SYSG2-3-4</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因施工原因发生重大设计变更导致工程建设费用增加或工期延误较多</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top w:val="single" w:color="auto" w:sz="4" w:space="0"/>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SYSG2-3-5</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使用未经检验或检验不合格的建筑材料、建筑构配件和设备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top w:val="single" w:color="auto" w:sz="4" w:space="0"/>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SYSG2-3-6</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施工过程中偷工减料</w:t>
            </w:r>
          </w:p>
        </w:tc>
        <w:tc>
          <w:tcPr>
            <w:tcW w:w="2919" w:type="dxa"/>
            <w:vAlign w:val="center"/>
          </w:tcPr>
          <w:p>
            <w:pPr>
              <w:jc w:val="center"/>
              <w:rPr>
                <w:rFonts w:ascii="宋体" w:hAnsi="宋体" w:cs="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ind w:left="480" w:hanging="480" w:hangingChars="200"/>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SYSG2-3-7</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发生重大（二级）以下、一般以上质量事故</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ind w:left="480" w:hanging="480" w:hangingChars="200"/>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SYSG2-3-8</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不按照设计图纸施工或施工方案未经审查批准擅自开工</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3-5分/次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SYSG2-3-9</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发生质量问题或严重质量缺陷</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SYSG2-3-10</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工程变更中存在弄虚作假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SYSG2-3-11</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内业资料造假</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SYSG2-3-12</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因施工原因造成工程进度滞后于合同工期</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SYSG2-3-13</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不履行保修义务或者拖延履行保修义务</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SYSG2-3-14</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挪用工程款</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tcBorders>
              <w:right w:val="single" w:color="auto" w:sz="4" w:space="0"/>
            </w:tcBorders>
            <w:vAlign w:val="center"/>
          </w:tcPr>
          <w:p>
            <w:pPr>
              <w:jc w:val="center"/>
              <w:rPr>
                <w:rFonts w:ascii="宋体" w:hAnsi="宋体" w:cs="宋体"/>
                <w:bCs/>
                <w:color w:val="auto"/>
                <w:sz w:val="24"/>
                <w:szCs w:val="24"/>
                <w:highlight w:val="none"/>
              </w:rPr>
            </w:pPr>
          </w:p>
        </w:tc>
        <w:tc>
          <w:tcPr>
            <w:tcW w:w="1485" w:type="dxa"/>
            <w:tcBorders>
              <w:lef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SYSG2-3-1</w:t>
            </w:r>
            <w:r>
              <w:rPr>
                <w:rFonts w:hint="eastAsia" w:ascii="宋体" w:hAnsi="宋体" w:cs="宋体"/>
                <w:bCs/>
                <w:color w:val="auto"/>
                <w:szCs w:val="21"/>
                <w:highlight w:val="none"/>
              </w:rPr>
              <w:t>5</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highlight w:val="none"/>
              </w:rPr>
              <w:t>未按规定配备质量管理人员</w:t>
            </w:r>
          </w:p>
        </w:tc>
        <w:tc>
          <w:tcPr>
            <w:tcW w:w="2919" w:type="dxa"/>
            <w:vAlign w:val="center"/>
          </w:tcPr>
          <w:p>
            <w:pPr>
              <w:jc w:val="center"/>
              <w:rPr>
                <w:rFonts w:ascii="宋体" w:hAnsi="宋体" w:cs="宋体"/>
                <w:bCs/>
                <w:color w:val="auto"/>
                <w:sz w:val="24"/>
                <w:szCs w:val="24"/>
                <w:highlight w:val="none"/>
              </w:rPr>
            </w:pPr>
            <w:r>
              <w:rPr>
                <w:rFonts w:ascii="宋体" w:hAnsi="宋体"/>
                <w:bCs/>
                <w:color w:val="auto"/>
                <w:sz w:val="24"/>
                <w:highlight w:val="none"/>
              </w:rPr>
              <w:t>1</w:t>
            </w:r>
            <w:r>
              <w:rPr>
                <w:rFonts w:hint="eastAsia" w:ascii="宋体" w:hAnsi="宋体"/>
                <w:bCs/>
                <w:color w:val="auto"/>
                <w:sz w:val="24"/>
                <w:highlight w:val="none"/>
              </w:rPr>
              <w:t>分</w:t>
            </w:r>
            <w:r>
              <w:rPr>
                <w:rFonts w:ascii="宋体" w:hAnsi="宋体"/>
                <w:bCs/>
                <w:color w:val="auto"/>
                <w:sz w:val="24"/>
                <w:highlight w:val="none"/>
              </w:rPr>
              <w:t>/</w:t>
            </w:r>
            <w:r>
              <w:rPr>
                <w:rFonts w:hint="eastAsia" w:ascii="宋体" w:hAnsi="宋体"/>
                <w:bCs/>
                <w:color w:val="auto"/>
                <w:sz w:val="24"/>
                <w:highlight w:val="none"/>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restart"/>
            <w:vAlign w:val="center"/>
          </w:tcPr>
          <w:p>
            <w:pPr>
              <w:jc w:val="center"/>
              <w:rPr>
                <w:rFonts w:ascii="宋体" w:hAnsi="宋体" w:cs="宋体"/>
                <w:bCs/>
                <w:color w:val="auto"/>
                <w:szCs w:val="21"/>
                <w:highlight w:val="none"/>
              </w:rPr>
            </w:pPr>
            <w:r>
              <w:rPr>
                <w:rFonts w:hint="eastAsia" w:ascii="宋体" w:hAnsi="宋体" w:cs="宋体"/>
                <w:bCs/>
                <w:color w:val="auto"/>
                <w:sz w:val="24"/>
                <w:szCs w:val="24"/>
                <w:highlight w:val="none"/>
              </w:rPr>
              <w:t>安全生产</w:t>
            </w:r>
            <w:r>
              <w:rPr>
                <w:rFonts w:hint="eastAsia" w:ascii="宋体" w:hAnsi="宋体" w:cs="宋体"/>
                <w:bCs/>
                <w:color w:val="auto"/>
                <w:szCs w:val="21"/>
                <w:highlight w:val="none"/>
              </w:rPr>
              <w:t>(满分20分，</w:t>
            </w:r>
          </w:p>
          <w:p>
            <w:pPr>
              <w:ind w:left="-107" w:leftChars="-51" w:right="-107" w:rightChars="-51" w:firstLine="107" w:firstLineChars="51"/>
              <w:jc w:val="center"/>
              <w:rPr>
                <w:rFonts w:ascii="宋体" w:hAnsi="宋体" w:cs="宋体"/>
                <w:bCs/>
                <w:color w:val="auto"/>
                <w:szCs w:val="21"/>
                <w:highlight w:val="none"/>
              </w:rPr>
            </w:pPr>
            <w:r>
              <w:rPr>
                <w:rFonts w:hint="eastAsia" w:ascii="宋体" w:hAnsi="宋体" w:cs="宋体"/>
                <w:bCs/>
                <w:color w:val="auto"/>
                <w:szCs w:val="21"/>
                <w:highlight w:val="none"/>
              </w:rPr>
              <w:t>扣完为止)</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SYSG2-4-1</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发生较大安全生产责任事故</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SYSG2-4-2</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发生一般安全生产责任事故</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SYSG2-4-3</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施工期间发生工程安全事件，拒绝或消极抢险</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SYSG2-4-4</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现场管理混乱，存在重大安全隐患</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SYSG2-4-5</w:t>
            </w:r>
          </w:p>
        </w:tc>
        <w:tc>
          <w:tcPr>
            <w:tcW w:w="6951" w:type="dxa"/>
            <w:vAlign w:val="center"/>
          </w:tcPr>
          <w:p>
            <w:pPr>
              <w:rPr>
                <w:rFonts w:ascii="宋体" w:hAnsi="宋体"/>
                <w:bCs/>
                <w:color w:val="auto"/>
                <w:sz w:val="24"/>
                <w:szCs w:val="24"/>
                <w:highlight w:val="none"/>
              </w:rPr>
            </w:pPr>
            <w:r>
              <w:rPr>
                <w:rFonts w:hint="eastAsia" w:ascii="宋体" w:hAnsi="宋体" w:cs="宋体"/>
                <w:bCs/>
                <w:color w:val="auto"/>
                <w:sz w:val="24"/>
                <w:szCs w:val="24"/>
                <w:highlight w:val="none"/>
              </w:rPr>
              <w:t>对重大危险源未监控，或者未制定应急预案以及未开展应急预案演练</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SYSG2-4-6</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挪用安全防护文明施工措施费用</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SYSG2-4-7</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未按规定配备安全生产管理人员</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SYSG2-4-8</w:t>
            </w:r>
          </w:p>
        </w:tc>
        <w:tc>
          <w:tcPr>
            <w:tcW w:w="6951" w:type="dxa"/>
            <w:vAlign w:val="center"/>
          </w:tcPr>
          <w:p>
            <w:pPr>
              <w:rPr>
                <w:rFonts w:ascii="宋体" w:hAnsi="宋体"/>
                <w:bCs/>
                <w:color w:val="auto"/>
                <w:sz w:val="24"/>
                <w:szCs w:val="24"/>
                <w:highlight w:val="none"/>
              </w:rPr>
            </w:pPr>
            <w:r>
              <w:rPr>
                <w:rFonts w:hint="eastAsia" w:ascii="宋体" w:hAnsi="宋体" w:cs="宋体"/>
                <w:bCs/>
                <w:color w:val="auto"/>
                <w:spacing w:val="-4"/>
                <w:sz w:val="24"/>
                <w:szCs w:val="24"/>
                <w:highlight w:val="none"/>
              </w:rPr>
              <w:t>特种作业人员未持有效证件上岗</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SYSG2-4-9</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特种设备未经检验或检验不合格投入使用</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2分/台次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SYSG2-4-10</w:t>
            </w:r>
          </w:p>
        </w:tc>
        <w:tc>
          <w:tcPr>
            <w:tcW w:w="6951" w:type="dxa"/>
            <w:vAlign w:val="center"/>
          </w:tcPr>
          <w:p>
            <w:pPr>
              <w:rPr>
                <w:rFonts w:ascii="宋体" w:hAnsi="宋体" w:cs="宋体"/>
                <w:bCs/>
                <w:color w:val="auto"/>
                <w:sz w:val="24"/>
                <w:szCs w:val="24"/>
                <w:highlight w:val="none"/>
              </w:rPr>
            </w:pPr>
            <w:r>
              <w:rPr>
                <w:rFonts w:hint="eastAsia" w:ascii="宋体" w:hAnsi="宋体"/>
                <w:bCs/>
                <w:color w:val="auto"/>
                <w:sz w:val="24"/>
                <w:szCs w:val="24"/>
                <w:highlight w:val="none"/>
              </w:rPr>
              <w:t>适航证书与施工作业区域不符</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1分/艘次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restart"/>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社会</w:t>
            </w:r>
          </w:p>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责任</w:t>
            </w:r>
          </w:p>
          <w:p>
            <w:pPr>
              <w:jc w:val="center"/>
              <w:rPr>
                <w:rFonts w:ascii="宋体" w:hAnsi="宋体" w:cs="宋体"/>
                <w:bCs/>
                <w:color w:val="auto"/>
                <w:sz w:val="24"/>
                <w:szCs w:val="24"/>
                <w:highlight w:val="none"/>
              </w:rPr>
            </w:pPr>
            <w:r>
              <w:rPr>
                <w:rFonts w:hint="eastAsia" w:ascii="宋体" w:hAnsi="宋体" w:cs="宋体"/>
                <w:bCs/>
                <w:color w:val="auto"/>
                <w:szCs w:val="21"/>
                <w:highlight w:val="none"/>
              </w:rPr>
              <w:t>(满分5分,扣完为止)</w:t>
            </w:r>
          </w:p>
        </w:tc>
        <w:tc>
          <w:tcPr>
            <w:tcW w:w="1485" w:type="dxa"/>
            <w:vAlign w:val="center"/>
          </w:tcPr>
          <w:p>
            <w:pPr>
              <w:autoSpaceDN w:val="0"/>
              <w:jc w:val="center"/>
              <w:rPr>
                <w:rFonts w:ascii="宋体" w:hAnsi="宋体"/>
                <w:bCs/>
                <w:color w:val="auto"/>
                <w:szCs w:val="21"/>
                <w:highlight w:val="none"/>
              </w:rPr>
            </w:pPr>
            <w:r>
              <w:rPr>
                <w:rFonts w:hint="eastAsia" w:ascii="宋体" w:hAnsi="宋体" w:cs="宋体"/>
                <w:bCs/>
                <w:color w:val="auto"/>
                <w:szCs w:val="21"/>
                <w:highlight w:val="none"/>
              </w:rPr>
              <w:t>SYSG2-5-1</w:t>
            </w:r>
          </w:p>
        </w:tc>
        <w:tc>
          <w:tcPr>
            <w:tcW w:w="6951" w:type="dxa"/>
            <w:vAlign w:val="center"/>
          </w:tcPr>
          <w:p>
            <w:pPr>
              <w:autoSpaceDN w:val="0"/>
              <w:rPr>
                <w:rFonts w:ascii="宋体" w:hAnsi="宋体"/>
                <w:bCs/>
                <w:color w:val="auto"/>
                <w:sz w:val="24"/>
                <w:szCs w:val="24"/>
                <w:highlight w:val="none"/>
              </w:rPr>
            </w:pPr>
            <w:r>
              <w:rPr>
                <w:rFonts w:hint="eastAsia" w:ascii="宋体" w:hAnsi="宋体"/>
                <w:bCs/>
                <w:color w:val="auto"/>
                <w:sz w:val="24"/>
                <w:szCs w:val="24"/>
                <w:highlight w:val="none"/>
              </w:rPr>
              <w:t>恶意拖欠农民工工资，造成不良影响</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 w:val="24"/>
                <w:szCs w:val="24"/>
                <w:highlight w:val="none"/>
              </w:rPr>
            </w:pPr>
          </w:p>
        </w:tc>
        <w:tc>
          <w:tcPr>
            <w:tcW w:w="1485" w:type="dxa"/>
            <w:vAlign w:val="center"/>
          </w:tcPr>
          <w:p>
            <w:pPr>
              <w:autoSpaceDN w:val="0"/>
              <w:jc w:val="center"/>
              <w:rPr>
                <w:rFonts w:ascii="宋体" w:hAnsi="宋体" w:cs="宋体"/>
                <w:bCs/>
                <w:color w:val="auto"/>
                <w:szCs w:val="21"/>
                <w:highlight w:val="none"/>
              </w:rPr>
            </w:pPr>
            <w:r>
              <w:rPr>
                <w:rFonts w:hint="eastAsia" w:ascii="宋体" w:hAnsi="宋体" w:cs="宋体"/>
                <w:bCs/>
                <w:color w:val="auto"/>
                <w:szCs w:val="21"/>
                <w:highlight w:val="none"/>
              </w:rPr>
              <w:t>SYSG2-5-2</w:t>
            </w:r>
          </w:p>
        </w:tc>
        <w:tc>
          <w:tcPr>
            <w:tcW w:w="6951" w:type="dxa"/>
            <w:vAlign w:val="center"/>
          </w:tcPr>
          <w:p>
            <w:pPr>
              <w:autoSpaceDN w:val="0"/>
              <w:rPr>
                <w:rFonts w:ascii="宋体" w:hAnsi="宋体" w:cs="宋体"/>
                <w:bCs/>
                <w:color w:val="auto"/>
                <w:sz w:val="24"/>
                <w:szCs w:val="24"/>
                <w:highlight w:val="none"/>
              </w:rPr>
            </w:pPr>
            <w:r>
              <w:rPr>
                <w:rFonts w:hint="eastAsia" w:ascii="宋体" w:hAnsi="宋体" w:cs="宋体"/>
                <w:bCs/>
                <w:color w:val="auto"/>
                <w:sz w:val="24"/>
                <w:szCs w:val="24"/>
                <w:highlight w:val="none"/>
              </w:rPr>
              <w:t>施工产生的废渣随意丢弃，废水随意排放，造成环境污染事故</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shd w:val="clear" w:color="auto" w:fill="FFFFFF"/>
              </w:rPr>
              <w:t>1-3</w:t>
            </w:r>
            <w:r>
              <w:rPr>
                <w:rFonts w:hint="eastAsia" w:ascii="宋体" w:hAnsi="宋体" w:cs="宋体"/>
                <w:bCs/>
                <w:color w:val="auto"/>
                <w:sz w:val="24"/>
                <w:szCs w:val="24"/>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SYSG2-6</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其他被认定的失信行为</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restart"/>
            <w:vAlign w:val="center"/>
          </w:tcPr>
          <w:p>
            <w:pPr>
              <w:jc w:val="center"/>
              <w:rPr>
                <w:rFonts w:ascii="宋体" w:hAnsi="宋体" w:cs="宋体"/>
                <w:bCs/>
                <w:color w:val="auto"/>
                <w:sz w:val="24"/>
                <w:szCs w:val="24"/>
                <w:highlight w:val="none"/>
              </w:rPr>
            </w:pPr>
          </w:p>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其它信用</w:t>
            </w:r>
          </w:p>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行为</w:t>
            </w:r>
          </w:p>
          <w:p>
            <w:pPr>
              <w:ind w:leftChars="-69" w:right="-107" w:rightChars="-51" w:hanging="144" w:hangingChars="69"/>
              <w:jc w:val="center"/>
              <w:rPr>
                <w:rFonts w:ascii="宋体" w:hAnsi="宋体" w:cs="宋体"/>
                <w:bCs/>
                <w:color w:val="auto"/>
                <w:sz w:val="24"/>
                <w:szCs w:val="24"/>
                <w:highlight w:val="none"/>
              </w:rPr>
            </w:pPr>
            <w:r>
              <w:rPr>
                <w:rFonts w:hint="eastAsia" w:ascii="宋体" w:hAnsi="宋体" w:cs="宋体"/>
                <w:bCs/>
                <w:color w:val="auto"/>
                <w:szCs w:val="21"/>
                <w:highlight w:val="none"/>
              </w:rPr>
              <w:t>（满分15分，在总分中扣除，扣完为止）</w:t>
            </w:r>
          </w:p>
        </w:tc>
        <w:tc>
          <w:tcPr>
            <w:tcW w:w="1091" w:type="dxa"/>
            <w:vMerge w:val="restart"/>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严重失信行为</w:t>
            </w: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SYSG3-1-1</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被司法机关认定有行贿、受贿行为，并构成犯罪</w:t>
            </w:r>
          </w:p>
        </w:tc>
        <w:tc>
          <w:tcPr>
            <w:tcW w:w="291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SYSG3-1-2</w:t>
            </w:r>
          </w:p>
        </w:tc>
        <w:tc>
          <w:tcPr>
            <w:tcW w:w="6951" w:type="dxa"/>
            <w:vAlign w:val="center"/>
          </w:tcPr>
          <w:p>
            <w:pPr>
              <w:overflowPunct w:val="0"/>
              <w:rPr>
                <w:rFonts w:ascii="宋体" w:hAnsi="宋体" w:cs="宋体"/>
                <w:bCs/>
                <w:color w:val="auto"/>
                <w:sz w:val="24"/>
                <w:szCs w:val="24"/>
                <w:highlight w:val="none"/>
              </w:rPr>
            </w:pPr>
            <w:r>
              <w:rPr>
                <w:rFonts w:hint="eastAsia" w:ascii="宋体" w:hAnsi="宋体"/>
                <w:bCs/>
                <w:color w:val="auto"/>
                <w:sz w:val="24"/>
                <w:szCs w:val="24"/>
                <w:highlight w:val="none"/>
              </w:rPr>
              <w:t>企业在资质申请、延续、变更中存在造假行为</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SYSG3-1-3</w:t>
            </w:r>
          </w:p>
        </w:tc>
        <w:tc>
          <w:tcPr>
            <w:tcW w:w="6951" w:type="dxa"/>
            <w:vAlign w:val="center"/>
          </w:tcPr>
          <w:p>
            <w:pPr>
              <w:overflowPunct w:val="0"/>
              <w:rPr>
                <w:rFonts w:ascii="宋体" w:hAnsi="宋体" w:cs="宋体"/>
                <w:bCs/>
                <w:color w:val="auto"/>
                <w:sz w:val="24"/>
                <w:szCs w:val="24"/>
                <w:highlight w:val="none"/>
              </w:rPr>
            </w:pPr>
            <w:r>
              <w:rPr>
                <w:rFonts w:hint="eastAsia" w:ascii="宋体" w:hAnsi="宋体"/>
                <w:bCs/>
                <w:color w:val="auto"/>
                <w:sz w:val="24"/>
                <w:szCs w:val="24"/>
                <w:highlight w:val="none"/>
              </w:rPr>
              <w:t>与招标人串通投标</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jc w:val="center"/>
              <w:rPr>
                <w:rFonts w:ascii="宋体" w:hAnsi="宋体" w:cs="宋体"/>
                <w:bCs/>
                <w:color w:val="auto"/>
                <w:szCs w:val="21"/>
                <w:highlight w:val="none"/>
              </w:rPr>
            </w:pPr>
          </w:p>
        </w:tc>
        <w:tc>
          <w:tcPr>
            <w:tcW w:w="148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SYSG3-1-4</w:t>
            </w:r>
          </w:p>
        </w:tc>
        <w:tc>
          <w:tcPr>
            <w:tcW w:w="6951" w:type="dxa"/>
            <w:vAlign w:val="center"/>
          </w:tcPr>
          <w:p>
            <w:pPr>
              <w:overflowPunct w:val="0"/>
              <w:rPr>
                <w:rFonts w:ascii="宋体" w:hAnsi="宋体" w:cs="宋体"/>
                <w:bCs/>
                <w:color w:val="auto"/>
                <w:sz w:val="24"/>
                <w:szCs w:val="24"/>
                <w:highlight w:val="none"/>
              </w:rPr>
            </w:pPr>
            <w:r>
              <w:rPr>
                <w:rFonts w:hint="eastAsia" w:ascii="宋体" w:hAnsi="宋体" w:cs="宋体"/>
                <w:bCs/>
                <w:color w:val="auto"/>
                <w:sz w:val="24"/>
                <w:highlight w:val="none"/>
              </w:rPr>
              <w:t>与招标人订立背离合同实质性内容的其他协议</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bCs/>
                <w:color w:val="auto"/>
                <w:sz w:val="24"/>
                <w:szCs w:val="24"/>
                <w:highlight w:val="none"/>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restart"/>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一般失信行为</w:t>
            </w: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SYSG3-2-1</w:t>
            </w:r>
          </w:p>
        </w:tc>
        <w:tc>
          <w:tcPr>
            <w:tcW w:w="6951"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未按规定填报或变更信用信息</w:t>
            </w:r>
          </w:p>
        </w:tc>
        <w:tc>
          <w:tcPr>
            <w:tcW w:w="291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overflowPunct w:val="0"/>
              <w:jc w:val="center"/>
              <w:rPr>
                <w:rFonts w:ascii="宋体" w:hAnsi="宋体" w:cs="宋体"/>
                <w:bCs/>
                <w:color w:val="auto"/>
                <w:szCs w:val="21"/>
                <w:highlight w:val="none"/>
              </w:rPr>
            </w:pP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SYSG3-2-2</w:t>
            </w:r>
          </w:p>
        </w:tc>
        <w:tc>
          <w:tcPr>
            <w:tcW w:w="6951" w:type="dxa"/>
            <w:vAlign w:val="center"/>
          </w:tcPr>
          <w:p>
            <w:pPr>
              <w:rPr>
                <w:rFonts w:ascii="宋体" w:hAnsi="宋体"/>
                <w:bCs/>
                <w:color w:val="auto"/>
                <w:sz w:val="24"/>
                <w:szCs w:val="24"/>
                <w:highlight w:val="none"/>
              </w:rPr>
            </w:pPr>
            <w:r>
              <w:rPr>
                <w:rFonts w:hint="eastAsia" w:ascii="宋体" w:hAnsi="宋体"/>
                <w:bCs/>
                <w:color w:val="auto"/>
                <w:sz w:val="24"/>
                <w:szCs w:val="24"/>
                <w:highlight w:val="none"/>
              </w:rPr>
              <w:t>填报或变更信用信息存在造假行为</w:t>
            </w:r>
          </w:p>
        </w:tc>
        <w:tc>
          <w:tcPr>
            <w:tcW w:w="291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overflowPunct w:val="0"/>
              <w:jc w:val="center"/>
              <w:rPr>
                <w:rFonts w:ascii="宋体" w:hAnsi="宋体" w:cs="宋体"/>
                <w:bCs/>
                <w:color w:val="auto"/>
                <w:szCs w:val="21"/>
                <w:highlight w:val="none"/>
              </w:rPr>
            </w:pP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SYSG3-2-3</w:t>
            </w:r>
          </w:p>
        </w:tc>
        <w:tc>
          <w:tcPr>
            <w:tcW w:w="6951"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弄虚作假或以不正当手段骗取较高信用等级</w:t>
            </w:r>
          </w:p>
        </w:tc>
        <w:tc>
          <w:tcPr>
            <w:tcW w:w="2919" w:type="dxa"/>
            <w:vAlign w:val="center"/>
          </w:tcPr>
          <w:p>
            <w:pPr>
              <w:ind w:right="-84" w:rightChars="-40"/>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overflowPunct w:val="0"/>
              <w:jc w:val="center"/>
              <w:rPr>
                <w:rFonts w:ascii="宋体" w:hAnsi="宋体" w:cs="宋体"/>
                <w:bCs/>
                <w:color w:val="auto"/>
                <w:szCs w:val="21"/>
                <w:highlight w:val="none"/>
              </w:rPr>
            </w:pP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SYSG3-2-4</w:t>
            </w:r>
          </w:p>
        </w:tc>
        <w:tc>
          <w:tcPr>
            <w:tcW w:w="6951" w:type="dxa"/>
            <w:vAlign w:val="center"/>
          </w:tcPr>
          <w:p>
            <w:pPr>
              <w:overflowPunct w:val="0"/>
              <w:rPr>
                <w:rFonts w:ascii="宋体" w:hAnsi="宋体" w:cs="宋体"/>
                <w:bCs/>
                <w:color w:val="auto"/>
                <w:sz w:val="24"/>
                <w:szCs w:val="24"/>
                <w:highlight w:val="none"/>
              </w:rPr>
            </w:pPr>
            <w:r>
              <w:rPr>
                <w:rFonts w:hint="eastAsia" w:ascii="宋体" w:hAnsi="宋体" w:cs="宋体"/>
                <w:bCs/>
                <w:color w:val="auto"/>
                <w:sz w:val="24"/>
                <w:szCs w:val="24"/>
                <w:highlight w:val="none"/>
              </w:rPr>
              <w:t>被省级以上交通运输主管部门</w:t>
            </w:r>
            <w:r>
              <w:rPr>
                <w:rFonts w:hint="eastAsia" w:ascii="宋体" w:hAnsi="宋体" w:cs="宋体"/>
                <w:bCs/>
                <w:strike w:val="0"/>
                <w:dstrike w:val="0"/>
                <w:color w:val="auto"/>
                <w:sz w:val="24"/>
                <w:szCs w:val="24"/>
                <w:highlight w:val="none"/>
              </w:rPr>
              <w:t>或部属单位</w:t>
            </w:r>
            <w:r>
              <w:rPr>
                <w:rFonts w:hint="eastAsia" w:ascii="宋体" w:hAnsi="宋体" w:cs="宋体"/>
                <w:bCs/>
                <w:color w:val="auto"/>
                <w:sz w:val="24"/>
                <w:szCs w:val="24"/>
                <w:highlight w:val="none"/>
              </w:rPr>
              <w:t>通报批评</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overflowPunct w:val="0"/>
              <w:jc w:val="center"/>
              <w:rPr>
                <w:rFonts w:ascii="宋体" w:hAnsi="宋体" w:cs="宋体"/>
                <w:bCs/>
                <w:color w:val="auto"/>
                <w:szCs w:val="21"/>
                <w:highlight w:val="none"/>
              </w:rPr>
            </w:pP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SYSG3-2-5</w:t>
            </w:r>
          </w:p>
        </w:tc>
        <w:tc>
          <w:tcPr>
            <w:tcW w:w="6951" w:type="dxa"/>
            <w:vAlign w:val="center"/>
          </w:tcPr>
          <w:p>
            <w:pPr>
              <w:overflowPunct w:val="0"/>
              <w:rPr>
                <w:rFonts w:ascii="宋体" w:hAnsi="宋体" w:cs="宋体"/>
                <w:bCs/>
                <w:color w:val="auto"/>
                <w:sz w:val="24"/>
                <w:szCs w:val="24"/>
                <w:highlight w:val="none"/>
              </w:rPr>
            </w:pPr>
            <w:r>
              <w:rPr>
                <w:rFonts w:hint="eastAsia" w:ascii="宋体" w:hAnsi="宋体" w:cs="宋体"/>
                <w:bCs/>
                <w:color w:val="auto"/>
                <w:sz w:val="24"/>
                <w:szCs w:val="24"/>
                <w:highlight w:val="none"/>
              </w:rPr>
              <w:t>被市级交通运输主管部门通报批评</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overflowPunct w:val="0"/>
              <w:jc w:val="center"/>
              <w:rPr>
                <w:rFonts w:ascii="宋体" w:hAnsi="宋体" w:cs="宋体"/>
                <w:bCs/>
                <w:color w:val="auto"/>
                <w:szCs w:val="21"/>
                <w:highlight w:val="none"/>
              </w:rPr>
            </w:pP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SYSG3-2-6</w:t>
            </w:r>
          </w:p>
        </w:tc>
        <w:tc>
          <w:tcPr>
            <w:tcW w:w="6951" w:type="dxa"/>
            <w:vAlign w:val="center"/>
          </w:tcPr>
          <w:p>
            <w:pPr>
              <w:overflowPunct w:val="0"/>
              <w:rPr>
                <w:rFonts w:ascii="宋体" w:hAnsi="宋体" w:cs="宋体"/>
                <w:bCs/>
                <w:color w:val="auto"/>
                <w:sz w:val="24"/>
                <w:szCs w:val="24"/>
                <w:highlight w:val="none"/>
              </w:rPr>
            </w:pPr>
            <w:r>
              <w:rPr>
                <w:rFonts w:hint="eastAsia" w:ascii="宋体" w:hAnsi="宋体" w:cs="宋体"/>
                <w:bCs/>
                <w:color w:val="auto"/>
                <w:sz w:val="24"/>
                <w:szCs w:val="24"/>
                <w:highlight w:val="none"/>
              </w:rPr>
              <w:t>拒绝参与政府部门组织的应急抢险任务</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38" w:type="dxa"/>
            <w:vMerge w:val="continue"/>
            <w:vAlign w:val="center"/>
          </w:tcPr>
          <w:p>
            <w:pPr>
              <w:jc w:val="center"/>
              <w:rPr>
                <w:rFonts w:ascii="宋体" w:hAnsi="宋体" w:cs="宋体"/>
                <w:bCs/>
                <w:color w:val="auto"/>
                <w:sz w:val="24"/>
                <w:szCs w:val="24"/>
                <w:highlight w:val="none"/>
              </w:rPr>
            </w:pPr>
          </w:p>
        </w:tc>
        <w:tc>
          <w:tcPr>
            <w:tcW w:w="1091" w:type="dxa"/>
            <w:vMerge w:val="continue"/>
            <w:vAlign w:val="center"/>
          </w:tcPr>
          <w:p>
            <w:pPr>
              <w:overflowPunct w:val="0"/>
              <w:jc w:val="center"/>
              <w:rPr>
                <w:rFonts w:ascii="宋体" w:hAnsi="宋体" w:cs="宋体"/>
                <w:bCs/>
                <w:color w:val="auto"/>
                <w:szCs w:val="21"/>
                <w:highlight w:val="none"/>
              </w:rPr>
            </w:pPr>
          </w:p>
        </w:tc>
        <w:tc>
          <w:tcPr>
            <w:tcW w:w="1485" w:type="dxa"/>
            <w:vAlign w:val="center"/>
          </w:tcPr>
          <w:p>
            <w:pPr>
              <w:overflowPunct w:val="0"/>
              <w:jc w:val="center"/>
              <w:rPr>
                <w:rFonts w:ascii="宋体" w:hAnsi="宋体" w:cs="宋体"/>
                <w:bCs/>
                <w:color w:val="auto"/>
                <w:szCs w:val="21"/>
                <w:highlight w:val="none"/>
              </w:rPr>
            </w:pPr>
            <w:r>
              <w:rPr>
                <w:rFonts w:hint="eastAsia" w:ascii="宋体" w:hAnsi="宋体" w:cs="宋体"/>
                <w:bCs/>
                <w:color w:val="auto"/>
                <w:szCs w:val="21"/>
                <w:highlight w:val="none"/>
              </w:rPr>
              <w:t>SYSG3-2-7</w:t>
            </w:r>
          </w:p>
        </w:tc>
        <w:tc>
          <w:tcPr>
            <w:tcW w:w="6951" w:type="dxa"/>
            <w:vAlign w:val="center"/>
          </w:tcPr>
          <w:p>
            <w:pPr>
              <w:overflowPunct w:val="0"/>
              <w:rPr>
                <w:rFonts w:ascii="宋体" w:hAnsi="宋体" w:cs="宋体"/>
                <w:bCs/>
                <w:color w:val="auto"/>
                <w:sz w:val="24"/>
                <w:szCs w:val="24"/>
                <w:highlight w:val="none"/>
              </w:rPr>
            </w:pPr>
            <w:r>
              <w:rPr>
                <w:rFonts w:hint="eastAsia" w:ascii="宋体" w:hAnsi="宋体" w:cs="宋体"/>
                <w:bCs/>
                <w:color w:val="auto"/>
                <w:sz w:val="24"/>
                <w:szCs w:val="24"/>
                <w:highlight w:val="none"/>
              </w:rPr>
              <w:t>其他被认定的失信行为</w:t>
            </w:r>
          </w:p>
        </w:tc>
        <w:tc>
          <w:tcPr>
            <w:tcW w:w="2919" w:type="dxa"/>
            <w:vAlign w:val="center"/>
          </w:tcPr>
          <w:p>
            <w:pPr>
              <w:overflowPunct w:val="0"/>
              <w:jc w:val="center"/>
              <w:rPr>
                <w:rFonts w:ascii="宋体" w:hAnsi="宋体" w:cs="宋体"/>
                <w:bCs/>
                <w:color w:val="auto"/>
                <w:sz w:val="24"/>
                <w:szCs w:val="24"/>
                <w:highlight w:val="none"/>
              </w:rPr>
            </w:pPr>
            <w:r>
              <w:rPr>
                <w:rFonts w:hint="eastAsia" w:ascii="宋体" w:hAnsi="宋体" w:cs="宋体"/>
                <w:bCs/>
                <w:color w:val="auto"/>
                <w:sz w:val="24"/>
                <w:szCs w:val="24"/>
                <w:highlight w:val="none"/>
              </w:rPr>
              <w:t>1-4分</w:t>
            </w:r>
          </w:p>
        </w:tc>
      </w:tr>
    </w:tbl>
    <w:p>
      <w:pPr>
        <w:spacing w:line="360" w:lineRule="auto"/>
        <w:ind w:firstLine="240" w:firstLineChars="100"/>
        <w:rPr>
          <w:rFonts w:ascii="宋体" w:hAnsi="宋体"/>
          <w:bCs/>
          <w:color w:val="auto"/>
          <w:sz w:val="24"/>
          <w:szCs w:val="24"/>
          <w:highlight w:val="none"/>
        </w:rPr>
      </w:pPr>
      <w:r>
        <w:rPr>
          <w:rFonts w:hint="eastAsia" w:ascii="宋体" w:hAnsi="宋体"/>
          <w:bCs/>
          <w:color w:val="auto"/>
          <w:sz w:val="24"/>
          <w:szCs w:val="24"/>
          <w:highlight w:val="none"/>
        </w:rPr>
        <w:t>注：1.“其他被认定的失信行为”是指由</w:t>
      </w:r>
      <w:r>
        <w:rPr>
          <w:rFonts w:hint="eastAsia" w:ascii="宋体" w:hAnsi="宋体"/>
          <w:bCs/>
          <w:color w:val="auto"/>
          <w:sz w:val="24"/>
          <w:szCs w:val="24"/>
          <w:highlight w:val="none"/>
          <w:lang w:eastAsia="zh-CN"/>
        </w:rPr>
        <w:t>州、市</w:t>
      </w:r>
      <w:r>
        <w:rPr>
          <w:rFonts w:hint="eastAsia" w:ascii="宋体" w:hAnsi="宋体"/>
          <w:bCs/>
          <w:color w:val="auto"/>
          <w:sz w:val="24"/>
          <w:szCs w:val="24"/>
          <w:highlight w:val="none"/>
        </w:rPr>
        <w:t>级以上交通运输主管部门依据法律法规认定的企业其他失信行为。</w:t>
      </w:r>
    </w:p>
    <w:p>
      <w:pPr>
        <w:spacing w:line="360" w:lineRule="auto"/>
        <w:ind w:left="957" w:leftChars="330" w:hanging="264" w:hangingChars="110"/>
        <w:rPr>
          <w:rFonts w:ascii="宋体" w:hAnsi="宋体"/>
          <w:bCs/>
          <w:color w:val="auto"/>
          <w:sz w:val="24"/>
          <w:szCs w:val="24"/>
          <w:highlight w:val="none"/>
        </w:rPr>
      </w:pPr>
      <w:r>
        <w:rPr>
          <w:rFonts w:hint="eastAsia" w:ascii="宋体" w:hAnsi="宋体"/>
          <w:bCs/>
          <w:color w:val="auto"/>
          <w:sz w:val="24"/>
          <w:szCs w:val="24"/>
          <w:highlight w:val="none"/>
        </w:rPr>
        <w:t>2.SYSG2-1-2 、SYSG2-1-3 、SYSG2-3-7、SYSG2-4-1、SYSG2-4-2应依据有关部门的事故调查处理结果认定。质量事故、安全事故的等级划分标准执行《生产安全事故报告和调查处理条例》（国务院第493号令）、《</w:t>
      </w:r>
      <w:r>
        <w:rPr>
          <w:rFonts w:hint="eastAsia" w:ascii="宋体" w:hAnsi="宋体"/>
          <w:bCs/>
          <w:color w:val="auto"/>
          <w:sz w:val="24"/>
          <w:szCs w:val="24"/>
          <w:highlight w:val="none"/>
          <w:lang w:eastAsia="zh-CN"/>
        </w:rPr>
        <w:t>公路</w:t>
      </w:r>
      <w:r>
        <w:rPr>
          <w:rFonts w:hint="eastAsia" w:ascii="宋体" w:hAnsi="宋体"/>
          <w:bCs/>
          <w:color w:val="auto"/>
          <w:sz w:val="24"/>
          <w:szCs w:val="24"/>
          <w:highlight w:val="none"/>
        </w:rPr>
        <w:t>水运建设工程质量事故等级划分和报告制度》（交办安监〔2016〕146号）等。</w:t>
      </w:r>
    </w:p>
    <w:p>
      <w:pPr>
        <w:tabs>
          <w:tab w:val="left" w:pos="709"/>
        </w:tabs>
        <w:spacing w:line="360" w:lineRule="auto"/>
        <w:ind w:left="817" w:leftChars="322" w:hanging="141" w:hangingChars="59"/>
        <w:rPr>
          <w:rFonts w:ascii="宋体" w:hAnsi="宋体" w:cs="Tahoma"/>
          <w:bCs/>
          <w:color w:val="auto"/>
          <w:sz w:val="24"/>
          <w:szCs w:val="24"/>
          <w:highlight w:val="none"/>
        </w:rPr>
      </w:pPr>
      <w:r>
        <w:rPr>
          <w:rFonts w:hint="eastAsia" w:ascii="宋体" w:hAnsi="宋体"/>
          <w:bCs/>
          <w:color w:val="auto"/>
          <w:sz w:val="24"/>
          <w:szCs w:val="24"/>
          <w:highlight w:val="none"/>
        </w:rPr>
        <w:t>3.SYSG2-2-1主要包括</w:t>
      </w:r>
      <w:r>
        <w:rPr>
          <w:rFonts w:hint="eastAsia" w:ascii="宋体" w:hAnsi="宋体" w:cs="Tahoma"/>
          <w:bCs/>
          <w:color w:val="auto"/>
          <w:sz w:val="24"/>
          <w:szCs w:val="24"/>
          <w:highlight w:val="none"/>
        </w:rPr>
        <w:t>以下情形：</w:t>
      </w:r>
    </w:p>
    <w:p>
      <w:pPr>
        <w:spacing w:line="360" w:lineRule="auto"/>
        <w:ind w:firstLine="720" w:firstLineChars="300"/>
        <w:rPr>
          <w:rFonts w:ascii="宋体" w:hAnsi="宋体" w:cs="Tahoma"/>
          <w:bCs/>
          <w:color w:val="auto"/>
          <w:sz w:val="24"/>
          <w:szCs w:val="24"/>
          <w:highlight w:val="none"/>
        </w:rPr>
      </w:pPr>
      <w:r>
        <w:rPr>
          <w:rFonts w:hint="eastAsia" w:ascii="宋体" w:hAnsi="宋体" w:cs="Tahoma"/>
          <w:bCs/>
          <w:color w:val="auto"/>
          <w:sz w:val="24"/>
          <w:szCs w:val="24"/>
          <w:highlight w:val="none"/>
        </w:rPr>
        <w:t>（1）配备的项目经理、技术负责人低于投标承诺的条件（包括职称、业绩、资历等）；</w:t>
      </w:r>
    </w:p>
    <w:p>
      <w:pPr>
        <w:spacing w:line="360" w:lineRule="auto"/>
        <w:ind w:firstLine="720" w:firstLineChars="300"/>
        <w:rPr>
          <w:rFonts w:ascii="宋体" w:hAnsi="宋体" w:cs="Tahoma"/>
          <w:bCs/>
          <w:color w:val="auto"/>
          <w:sz w:val="24"/>
          <w:szCs w:val="24"/>
          <w:highlight w:val="none"/>
        </w:rPr>
      </w:pPr>
      <w:r>
        <w:rPr>
          <w:rFonts w:hint="eastAsia" w:ascii="宋体" w:hAnsi="宋体" w:cs="Tahoma"/>
          <w:bCs/>
          <w:color w:val="auto"/>
          <w:sz w:val="24"/>
          <w:szCs w:val="24"/>
          <w:highlight w:val="none"/>
        </w:rPr>
        <w:t>（2）配备的项目经理、技术负责人不低于投标承诺的条件，但未经项目法人同意进行更换；</w:t>
      </w:r>
    </w:p>
    <w:p>
      <w:pPr>
        <w:spacing w:line="360" w:lineRule="auto"/>
        <w:ind w:left="1242" w:leftChars="331" w:hanging="547" w:hangingChars="228"/>
        <w:rPr>
          <w:rFonts w:ascii="宋体" w:hAnsi="宋体" w:cs="Tahoma"/>
          <w:bCs/>
          <w:color w:val="auto"/>
          <w:sz w:val="24"/>
          <w:szCs w:val="24"/>
          <w:highlight w:val="none"/>
        </w:rPr>
      </w:pPr>
      <w:r>
        <w:rPr>
          <w:rFonts w:hint="eastAsia" w:ascii="宋体" w:hAnsi="宋体" w:cs="Tahoma"/>
          <w:bCs/>
          <w:color w:val="auto"/>
          <w:sz w:val="24"/>
          <w:szCs w:val="24"/>
          <w:highlight w:val="none"/>
        </w:rPr>
        <w:t>（3）配备的项目经理、技术负责人不低于投标承诺的条件，虽经过项目法人同意进行更换，但同一岗位更换人次数达到两次以上，从第二次变更开始扣分。</w:t>
      </w:r>
    </w:p>
    <w:p>
      <w:pPr>
        <w:spacing w:line="360" w:lineRule="auto"/>
        <w:ind w:left="932" w:leftChars="322" w:hanging="256" w:hangingChars="107"/>
        <w:rPr>
          <w:rFonts w:ascii="宋体" w:hAnsi="宋体" w:cs="Tahoma"/>
          <w:bCs/>
          <w:color w:val="auto"/>
          <w:sz w:val="24"/>
          <w:szCs w:val="24"/>
          <w:highlight w:val="none"/>
        </w:rPr>
      </w:pPr>
      <w:r>
        <w:rPr>
          <w:rFonts w:hint="eastAsia" w:ascii="宋体" w:hAnsi="宋体" w:cs="Tahoma"/>
          <w:bCs/>
          <w:color w:val="auto"/>
          <w:sz w:val="24"/>
          <w:szCs w:val="24"/>
          <w:highlight w:val="none"/>
        </w:rPr>
        <w:t>4.SYSG2-2-2中的工程需要的关键施工机械、设备是指外部条件未发生重大变化，为满足合理施工需要应配备的关键施工机械、设备。</w:t>
      </w:r>
    </w:p>
    <w:p>
      <w:pPr>
        <w:spacing w:line="360" w:lineRule="auto"/>
        <w:ind w:left="959" w:leftChars="322" w:hanging="283" w:hangingChars="118"/>
        <w:rPr>
          <w:rFonts w:ascii="宋体" w:hAnsi="宋体" w:cs="Tahoma"/>
          <w:bCs/>
          <w:color w:val="auto"/>
          <w:sz w:val="24"/>
          <w:szCs w:val="24"/>
          <w:highlight w:val="none"/>
        </w:rPr>
      </w:pPr>
      <w:r>
        <w:rPr>
          <w:rFonts w:hint="eastAsia" w:ascii="宋体" w:hAnsi="宋体" w:cs="Tahoma"/>
          <w:bCs/>
          <w:color w:val="auto"/>
          <w:sz w:val="24"/>
          <w:szCs w:val="24"/>
          <w:highlight w:val="none"/>
        </w:rPr>
        <w:t>5.SYS</w:t>
      </w:r>
      <w:r>
        <w:rPr>
          <w:rFonts w:hint="eastAsia" w:ascii="宋体" w:hAnsi="宋体"/>
          <w:bCs/>
          <w:color w:val="auto"/>
          <w:sz w:val="24"/>
          <w:szCs w:val="24"/>
          <w:highlight w:val="none"/>
        </w:rPr>
        <w:t>G</w:t>
      </w:r>
      <w:r>
        <w:rPr>
          <w:rFonts w:hint="eastAsia" w:ascii="宋体" w:hAnsi="宋体" w:cs="Tahoma"/>
          <w:bCs/>
          <w:color w:val="auto"/>
          <w:sz w:val="24"/>
          <w:szCs w:val="24"/>
          <w:highlight w:val="none"/>
        </w:rPr>
        <w:t>2-5-2</w:t>
      </w:r>
      <w:r>
        <w:rPr>
          <w:rFonts w:hint="eastAsia" w:ascii="宋体" w:hAnsi="宋体"/>
          <w:bCs/>
          <w:color w:val="auto"/>
          <w:sz w:val="24"/>
          <w:szCs w:val="24"/>
          <w:highlight w:val="none"/>
        </w:rPr>
        <w:t>应依据有关部门的事故调查处理结果认定。</w:t>
      </w:r>
      <w:r>
        <w:rPr>
          <w:rFonts w:hint="eastAsia" w:ascii="宋体" w:hAnsi="宋体" w:cs="Tahoma"/>
          <w:bCs/>
          <w:color w:val="auto"/>
          <w:sz w:val="24"/>
          <w:szCs w:val="24"/>
          <w:highlight w:val="none"/>
        </w:rPr>
        <w:t>环境污染事故的等级划分标准执行《突发环境事件信息报告办法》（环境保护部</w:t>
      </w:r>
      <w:r>
        <w:rPr>
          <w:rFonts w:hint="eastAsia" w:ascii="宋体" w:hAnsi="宋体"/>
          <w:bCs/>
          <w:color w:val="auto"/>
          <w:sz w:val="24"/>
          <w:szCs w:val="24"/>
          <w:highlight w:val="none"/>
        </w:rPr>
        <w:t>2011年第17号令</w:t>
      </w:r>
      <w:r>
        <w:rPr>
          <w:rFonts w:hint="eastAsia" w:ascii="宋体" w:hAnsi="宋体" w:cs="Tahoma"/>
          <w:bCs/>
          <w:color w:val="auto"/>
          <w:sz w:val="24"/>
          <w:szCs w:val="24"/>
          <w:highlight w:val="none"/>
        </w:rPr>
        <w:t>）。</w:t>
      </w:r>
    </w:p>
    <w:p>
      <w:pPr>
        <w:spacing w:line="360" w:lineRule="auto"/>
        <w:ind w:firstLine="708" w:firstLineChars="295"/>
        <w:rPr>
          <w:rFonts w:hint="eastAsia" w:ascii="宋体" w:hAnsi="宋体" w:cs="Tahoma"/>
          <w:bCs/>
          <w:color w:val="auto"/>
          <w:sz w:val="24"/>
          <w:szCs w:val="24"/>
          <w:highlight w:val="none"/>
        </w:rPr>
      </w:pPr>
      <w:r>
        <w:rPr>
          <w:rFonts w:hint="eastAsia" w:ascii="宋体" w:hAnsi="宋体" w:cs="Tahoma"/>
          <w:bCs/>
          <w:color w:val="auto"/>
          <w:sz w:val="24"/>
          <w:szCs w:val="24"/>
          <w:highlight w:val="none"/>
        </w:rPr>
        <w:t>6.SYS</w:t>
      </w:r>
      <w:r>
        <w:rPr>
          <w:rFonts w:hint="eastAsia" w:ascii="宋体" w:hAnsi="宋体"/>
          <w:bCs/>
          <w:color w:val="auto"/>
          <w:sz w:val="24"/>
          <w:szCs w:val="24"/>
          <w:highlight w:val="none"/>
        </w:rPr>
        <w:t>G</w:t>
      </w:r>
      <w:r>
        <w:rPr>
          <w:rFonts w:hint="eastAsia" w:ascii="宋体" w:hAnsi="宋体" w:cs="Tahoma"/>
          <w:bCs/>
          <w:color w:val="auto"/>
          <w:sz w:val="24"/>
          <w:szCs w:val="24"/>
          <w:highlight w:val="none"/>
        </w:rPr>
        <w:t>3-1-1是指在项目所在省份从事水运工程施工活动中发生的单位行贿、受贿行为。</w:t>
      </w:r>
    </w:p>
    <w:p>
      <w:pPr>
        <w:spacing w:line="360" w:lineRule="auto"/>
        <w:ind w:left="815" w:leftChars="321" w:hanging="141" w:hangingChars="59"/>
        <w:rPr>
          <w:rFonts w:ascii="宋体" w:hAnsi="宋体"/>
          <w:bCs/>
          <w:color w:val="auto"/>
          <w:sz w:val="24"/>
          <w:szCs w:val="24"/>
          <w:highlight w:val="none"/>
        </w:rPr>
      </w:pPr>
      <w:r>
        <w:rPr>
          <w:rFonts w:hint="eastAsia" w:ascii="宋体" w:hAnsi="宋体" w:cs="Tahoma"/>
          <w:bCs/>
          <w:color w:val="auto"/>
          <w:sz w:val="24"/>
          <w:szCs w:val="24"/>
          <w:highlight w:val="none"/>
          <w:lang w:val="en-US" w:eastAsia="zh-CN"/>
        </w:rPr>
        <w:t>7</w:t>
      </w:r>
      <w:r>
        <w:rPr>
          <w:rFonts w:hint="eastAsia" w:ascii="宋体" w:hAnsi="宋体" w:cs="Tahoma"/>
          <w:bCs/>
          <w:color w:val="auto"/>
          <w:sz w:val="24"/>
          <w:szCs w:val="24"/>
          <w:highlight w:val="none"/>
        </w:rPr>
        <w:t>.SYS</w:t>
      </w:r>
      <w:r>
        <w:rPr>
          <w:rFonts w:hint="eastAsia" w:ascii="宋体" w:hAnsi="宋体"/>
          <w:bCs/>
          <w:color w:val="auto"/>
          <w:sz w:val="24"/>
          <w:szCs w:val="24"/>
          <w:highlight w:val="none"/>
        </w:rPr>
        <w:t>G</w:t>
      </w:r>
      <w:r>
        <w:rPr>
          <w:rFonts w:hint="eastAsia" w:ascii="宋体" w:hAnsi="宋体" w:cs="Tahoma"/>
          <w:bCs/>
          <w:color w:val="auto"/>
          <w:sz w:val="24"/>
          <w:szCs w:val="24"/>
          <w:highlight w:val="none"/>
        </w:rPr>
        <w:t>3-2-4、SYS</w:t>
      </w:r>
      <w:r>
        <w:rPr>
          <w:rFonts w:hint="eastAsia" w:ascii="宋体" w:hAnsi="宋体"/>
          <w:bCs/>
          <w:color w:val="auto"/>
          <w:sz w:val="24"/>
          <w:szCs w:val="24"/>
          <w:highlight w:val="none"/>
        </w:rPr>
        <w:t>G</w:t>
      </w:r>
      <w:r>
        <w:rPr>
          <w:rFonts w:hint="eastAsia" w:ascii="宋体" w:hAnsi="宋体" w:cs="Tahoma"/>
          <w:bCs/>
          <w:color w:val="auto"/>
          <w:sz w:val="24"/>
          <w:szCs w:val="24"/>
          <w:highlight w:val="none"/>
        </w:rPr>
        <w:t>3-2-5当</w:t>
      </w:r>
      <w:r>
        <w:rPr>
          <w:rFonts w:hint="eastAsia" w:ascii="宋体" w:hAnsi="宋体"/>
          <w:bCs/>
          <w:color w:val="auto"/>
          <w:sz w:val="24"/>
          <w:szCs w:val="24"/>
          <w:highlight w:val="none"/>
        </w:rPr>
        <w:t>被</w:t>
      </w:r>
      <w:r>
        <w:rPr>
          <w:rFonts w:hint="eastAsia" w:ascii="宋体" w:hAnsi="宋体"/>
          <w:bCs/>
          <w:color w:val="auto"/>
          <w:sz w:val="24"/>
          <w:szCs w:val="24"/>
          <w:highlight w:val="none"/>
          <w:lang w:eastAsia="zh-CN"/>
        </w:rPr>
        <w:t>州、市</w:t>
      </w:r>
      <w:r>
        <w:rPr>
          <w:rFonts w:hint="eastAsia" w:ascii="宋体" w:hAnsi="宋体"/>
          <w:bCs/>
          <w:color w:val="auto"/>
          <w:sz w:val="24"/>
          <w:szCs w:val="24"/>
          <w:highlight w:val="none"/>
        </w:rPr>
        <w:t>级</w:t>
      </w:r>
      <w:r>
        <w:rPr>
          <w:rFonts w:hint="eastAsia" w:ascii="宋体" w:hAnsi="宋体"/>
          <w:bCs/>
          <w:color w:val="auto"/>
          <w:sz w:val="24"/>
          <w:szCs w:val="24"/>
          <w:highlight w:val="none"/>
          <w:lang w:eastAsia="zh-CN"/>
        </w:rPr>
        <w:t>及</w:t>
      </w:r>
      <w:r>
        <w:rPr>
          <w:rFonts w:hint="eastAsia" w:ascii="宋体" w:hAnsi="宋体"/>
          <w:bCs/>
          <w:color w:val="auto"/>
          <w:sz w:val="24"/>
          <w:szCs w:val="24"/>
          <w:highlight w:val="none"/>
        </w:rPr>
        <w:t>以上交通运输主管部门通报批评，涉及</w:t>
      </w:r>
      <w:bookmarkStart w:id="13" w:name="_GoBack"/>
      <w:bookmarkEnd w:id="13"/>
      <w:r>
        <w:rPr>
          <w:rFonts w:hint="eastAsia" w:ascii="宋体" w:hAnsi="宋体"/>
          <w:bCs/>
          <w:color w:val="auto"/>
          <w:sz w:val="24"/>
          <w:szCs w:val="24"/>
          <w:highlight w:val="none"/>
        </w:rPr>
        <w:t>标准中的具体失信行为时，不重复扣分，按“就高不就低”原则执行。</w:t>
      </w:r>
    </w:p>
    <w:p>
      <w:pPr>
        <w:spacing w:line="360" w:lineRule="auto"/>
        <w:ind w:left="815" w:leftChars="321" w:hanging="141" w:hangingChars="59"/>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.扣分 “次”是指在评价期内发现的企业失信行为次数。企业失信行为能够整改的，整改期内不重复扣分，整改期满后，未整改或再次发生同一失信行为，可再次扣分；无法整改的，同一事件不重复扣分。</w:t>
      </w:r>
    </w:p>
    <w:p>
      <w:pPr>
        <w:spacing w:line="360" w:lineRule="auto"/>
        <w:ind w:left="815" w:leftChars="321" w:hanging="141" w:hangingChars="59"/>
        <w:rPr>
          <w:rFonts w:hint="eastAsia" w:ascii="宋体" w:hAnsi="宋体"/>
          <w:bCs/>
          <w:color w:val="auto"/>
          <w:sz w:val="24"/>
          <w:szCs w:val="24"/>
          <w:highlight w:val="none"/>
        </w:rPr>
        <w:sectPr>
          <w:footerReference r:id="rId5" w:type="default"/>
          <w:pgSz w:w="16838" w:h="11906" w:orient="landscape"/>
          <w:pgMar w:top="1800" w:right="1440" w:bottom="1800" w:left="1440" w:header="851" w:footer="992" w:gutter="0"/>
          <w:pgNumType w:fmt="numberInDash"/>
          <w:cols w:space="720" w:num="1"/>
          <w:docGrid w:type="lines" w:linePitch="312" w:charSpace="0"/>
        </w:sectPr>
      </w:pPr>
    </w:p>
    <w:p>
      <w:pPr>
        <w:tabs>
          <w:tab w:val="left" w:pos="13230"/>
        </w:tabs>
        <w:adjustRightInd/>
        <w:snapToGrid/>
        <w:spacing w:line="360" w:lineRule="exact"/>
        <w:rPr>
          <w:rFonts w:hint="eastAsia" w:ascii="方正黑体_GBK" w:hAnsi="方正黑体_GBK" w:eastAsia="方正黑体_GBK" w:cs="方正黑体_GBK"/>
          <w:bCs/>
          <w:color w:val="auto"/>
          <w:sz w:val="32"/>
          <w:szCs w:val="32"/>
          <w:highlight w:val="none"/>
        </w:rPr>
      </w:pPr>
      <w:r>
        <w:rPr>
          <w:rFonts w:hint="eastAsia" w:ascii="方正黑体_GBK" w:hAnsi="方正黑体_GBK" w:eastAsia="方正黑体_GBK" w:cs="方正黑体_GBK"/>
          <w:bCs/>
          <w:color w:val="auto"/>
          <w:sz w:val="32"/>
          <w:szCs w:val="32"/>
          <w:highlight w:val="none"/>
        </w:rPr>
        <w:t>附件3</w:t>
      </w:r>
    </w:p>
    <w:p>
      <w:pPr>
        <w:pStyle w:val="19"/>
        <w:keepNext w:val="0"/>
        <w:keepLines w:val="0"/>
        <w:pageBreakBefore w:val="0"/>
        <w:widowControl w:val="0"/>
        <w:kinsoku/>
        <w:wordWrap/>
        <w:overflowPunct/>
        <w:topLinePunct w:val="0"/>
        <w:autoSpaceDE/>
        <w:autoSpaceDN/>
        <w:bidi w:val="0"/>
        <w:adjustRightInd w:val="0"/>
        <w:snapToGrid w:val="0"/>
        <w:spacing w:line="720" w:lineRule="exact"/>
        <w:ind w:firstLine="720"/>
        <w:jc w:val="center"/>
        <w:textAlignment w:val="auto"/>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lang w:eastAsia="zh-CN"/>
        </w:rPr>
        <w:t>云南省</w:t>
      </w:r>
      <w:r>
        <w:rPr>
          <w:rFonts w:hint="eastAsia" w:ascii="方正小标宋_GBK" w:hAnsi="方正小标宋_GBK" w:eastAsia="方正小标宋_GBK" w:cs="方正小标宋_GBK"/>
          <w:bCs/>
          <w:color w:val="auto"/>
          <w:sz w:val="36"/>
          <w:szCs w:val="36"/>
          <w:highlight w:val="none"/>
        </w:rPr>
        <w:t>水运工程设计和施工企业信用评价</w:t>
      </w:r>
    </w:p>
    <w:p>
      <w:pPr>
        <w:pStyle w:val="19"/>
        <w:keepNext w:val="0"/>
        <w:keepLines w:val="0"/>
        <w:pageBreakBefore w:val="0"/>
        <w:widowControl w:val="0"/>
        <w:kinsoku/>
        <w:wordWrap/>
        <w:overflowPunct/>
        <w:topLinePunct w:val="0"/>
        <w:autoSpaceDE/>
        <w:autoSpaceDN/>
        <w:bidi w:val="0"/>
        <w:adjustRightInd w:val="0"/>
        <w:snapToGrid w:val="0"/>
        <w:spacing w:line="720" w:lineRule="exact"/>
        <w:ind w:firstLine="720"/>
        <w:jc w:val="center"/>
        <w:textAlignment w:val="auto"/>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评分计算方法</w:t>
      </w:r>
    </w:p>
    <w:p>
      <w:pPr>
        <w:pStyle w:val="19"/>
        <w:adjustRightInd w:val="0"/>
        <w:snapToGrid w:val="0"/>
        <w:ind w:firstLine="565" w:firstLineChars="202"/>
        <w:rPr>
          <w:rFonts w:ascii="宋体" w:hAnsi="宋体"/>
          <w:bCs/>
          <w:color w:val="auto"/>
          <w:szCs w:val="28"/>
          <w:highlight w:val="none"/>
        </w:rPr>
      </w:pPr>
    </w:p>
    <w:p>
      <w:pPr>
        <w:pStyle w:val="19"/>
        <w:adjustRightInd w:val="0"/>
        <w:snapToGrid w:val="0"/>
        <w:ind w:firstLine="568" w:firstLineChars="202"/>
        <w:rPr>
          <w:rFonts w:hint="eastAsia" w:ascii="宋体" w:hAnsi="宋体"/>
          <w:b/>
          <w:color w:val="auto"/>
          <w:szCs w:val="28"/>
          <w:highlight w:val="none"/>
        </w:rPr>
      </w:pPr>
      <w:r>
        <w:rPr>
          <w:rFonts w:hint="eastAsia" w:ascii="宋体" w:hAnsi="宋体"/>
          <w:b/>
          <w:color w:val="auto"/>
          <w:szCs w:val="28"/>
          <w:highlight w:val="none"/>
        </w:rPr>
        <w:t>一、单个标段评价</w:t>
      </w:r>
    </w:p>
    <w:p>
      <w:pPr>
        <w:pStyle w:val="19"/>
        <w:adjustRightInd w:val="0"/>
        <w:snapToGrid w:val="0"/>
        <w:ind w:firstLine="565" w:firstLineChars="202"/>
        <w:rPr>
          <w:rFonts w:hint="eastAsia" w:ascii="宋体" w:hAnsi="宋体"/>
          <w:bCs/>
          <w:color w:val="auto"/>
          <w:szCs w:val="28"/>
          <w:highlight w:val="none"/>
        </w:rPr>
      </w:pPr>
      <w:r>
        <w:rPr>
          <w:rFonts w:hint="eastAsia" w:ascii="宋体" w:hAnsi="宋体"/>
          <w:bCs/>
          <w:color w:val="auto"/>
          <w:szCs w:val="28"/>
          <w:highlight w:val="none"/>
        </w:rPr>
        <w:t xml:space="preserve">1.企业投标行为信用评价得分: </w:t>
      </w:r>
      <w:r>
        <w:rPr>
          <w:rFonts w:hint="eastAsia" w:ascii="宋体" w:hAnsi="宋体"/>
          <w:bCs/>
          <w:color w:val="auto"/>
          <w:position w:val="-28"/>
          <w:szCs w:val="28"/>
          <w:highlight w:val="none"/>
        </w:rPr>
        <w:object>
          <v:shape id="_x0000_i1025" o:spt="75" type="#_x0000_t75" style="height:41.9pt;width:135.3pt;" o:ole="t" filled="f" stroked="f" coordsize="21600,21600">
            <v:path/>
            <v:fill on="f" focussize="0,0"/>
            <v:stroke on="f"/>
            <v:imagedata r:id="rId9" o:title=""/>
            <o:lock v:ext="edit" grouping="f" rotation="f" text="f" aspectratio="t"/>
            <w10:wrap type="none"/>
            <w10:anchorlock/>
          </v:shape>
          <o:OLEObject Type="Embed" ProgID="Equation.3" ShapeID="_x0000_i1025" DrawAspect="Content" ObjectID="_1468075725" r:id="rId8">
            <o:LockedField>false</o:LockedField>
          </o:OLEObject>
        </w:object>
      </w:r>
    </w:p>
    <w:p>
      <w:pPr>
        <w:pStyle w:val="19"/>
        <w:adjustRightInd w:val="0"/>
        <w:snapToGrid w:val="0"/>
        <w:ind w:firstLine="565" w:firstLineChars="202"/>
        <w:rPr>
          <w:rFonts w:hint="eastAsia" w:ascii="宋体" w:hAnsi="宋体"/>
          <w:bCs/>
          <w:color w:val="auto"/>
          <w:szCs w:val="28"/>
          <w:highlight w:val="none"/>
        </w:rPr>
      </w:pPr>
      <w:r>
        <w:rPr>
          <w:rFonts w:hint="eastAsia" w:ascii="宋体" w:hAnsi="宋体"/>
          <w:bCs/>
          <w:color w:val="auto"/>
          <w:szCs w:val="28"/>
          <w:highlight w:val="none"/>
        </w:rPr>
        <w:t>其中：T</w:t>
      </w:r>
      <w:r>
        <w:rPr>
          <w:rFonts w:hint="eastAsia" w:ascii="宋体" w:hAnsi="宋体"/>
          <w:bCs/>
          <w:color w:val="auto"/>
          <w:szCs w:val="28"/>
          <w:highlight w:val="none"/>
          <w:vertAlign w:val="subscript"/>
        </w:rPr>
        <w:t>i</w:t>
      </w:r>
      <w:r>
        <w:rPr>
          <w:rFonts w:hint="eastAsia" w:ascii="宋体" w:hAnsi="宋体"/>
          <w:bCs/>
          <w:color w:val="auto"/>
          <w:szCs w:val="28"/>
          <w:highlight w:val="none"/>
        </w:rPr>
        <w:t>为企业在某标段投标行为信用评价得分，T</w:t>
      </w:r>
      <w:r>
        <w:rPr>
          <w:rFonts w:hint="eastAsia" w:ascii="宋体" w:hAnsi="宋体"/>
          <w:bCs/>
          <w:color w:val="auto"/>
          <w:szCs w:val="28"/>
          <w:highlight w:val="none"/>
          <w:vertAlign w:val="subscript"/>
        </w:rPr>
        <w:t>i</w:t>
      </w:r>
      <w:r>
        <w:rPr>
          <w:rFonts w:hint="eastAsia" w:ascii="宋体" w:hAnsi="宋体"/>
          <w:bCs/>
          <w:color w:val="auto"/>
          <w:szCs w:val="28"/>
          <w:highlight w:val="none"/>
        </w:rPr>
        <w:t>≥0；</w:t>
      </w:r>
    </w:p>
    <w:p>
      <w:pPr>
        <w:pStyle w:val="19"/>
        <w:adjustRightInd w:val="0"/>
        <w:snapToGrid w:val="0"/>
        <w:ind w:firstLine="1405" w:firstLineChars="502"/>
        <w:rPr>
          <w:rFonts w:hint="eastAsia" w:ascii="宋体" w:hAnsi="宋体"/>
          <w:bCs/>
          <w:color w:val="auto"/>
          <w:szCs w:val="28"/>
          <w:highlight w:val="none"/>
        </w:rPr>
      </w:pPr>
      <w:r>
        <w:rPr>
          <w:rFonts w:hint="eastAsia" w:ascii="宋体" w:hAnsi="宋体"/>
          <w:bCs/>
          <w:color w:val="auto"/>
          <w:szCs w:val="28"/>
          <w:highlight w:val="none"/>
        </w:rPr>
        <w:t>i为该标段投标失信行为项次，A</w:t>
      </w:r>
      <w:r>
        <w:rPr>
          <w:rFonts w:hint="eastAsia" w:ascii="宋体" w:hAnsi="宋体"/>
          <w:bCs/>
          <w:color w:val="auto"/>
          <w:szCs w:val="28"/>
          <w:highlight w:val="none"/>
          <w:vertAlign w:val="subscript"/>
        </w:rPr>
        <w:t>i</w:t>
      </w:r>
      <w:r>
        <w:rPr>
          <w:rFonts w:hint="eastAsia" w:ascii="宋体" w:hAnsi="宋体"/>
          <w:bCs/>
          <w:color w:val="auto"/>
          <w:szCs w:val="28"/>
          <w:highlight w:val="none"/>
        </w:rPr>
        <w:t>为投标失信行为对应的扣分。如果企业无失信行为，则不进行评价。</w:t>
      </w:r>
    </w:p>
    <w:p>
      <w:pPr>
        <w:pStyle w:val="19"/>
        <w:adjustRightInd w:val="0"/>
        <w:snapToGrid w:val="0"/>
        <w:ind w:firstLine="565" w:firstLineChars="202"/>
        <w:rPr>
          <w:rFonts w:hint="eastAsia" w:ascii="宋体" w:hAnsi="宋体"/>
          <w:bCs/>
          <w:color w:val="auto"/>
          <w:szCs w:val="28"/>
          <w:highlight w:val="none"/>
        </w:rPr>
      </w:pPr>
      <w:r>
        <w:rPr>
          <w:rFonts w:hint="eastAsia" w:ascii="宋体" w:hAnsi="宋体"/>
          <w:bCs/>
          <w:color w:val="auto"/>
          <w:szCs w:val="28"/>
          <w:highlight w:val="none"/>
        </w:rPr>
        <w:t xml:space="preserve">2．企业履约行为信用评价得分： </w:t>
      </w:r>
      <w:r>
        <w:rPr>
          <w:rFonts w:hint="eastAsia" w:ascii="宋体" w:hAnsi="宋体"/>
          <w:bCs/>
          <w:color w:val="auto"/>
          <w:position w:val="-28"/>
          <w:szCs w:val="28"/>
          <w:highlight w:val="none"/>
        </w:rPr>
        <w:object>
          <v:shape id="_x0000_i1026" o:spt="75" type="#_x0000_t75" style="height:41.85pt;width:117.85pt;" o:ole="t" filled="f" stroked="f" coordsize="21600,21600">
            <v:path/>
            <v:fill on="f" focussize="0,0"/>
            <v:stroke on="f"/>
            <v:imagedata r:id="rId11" o:title=""/>
            <o:lock v:ext="edit" grouping="f" rotation="f" text="f" aspectratio="t"/>
            <w10:wrap type="none"/>
            <w10:anchorlock/>
          </v:shape>
          <o:OLEObject Type="Embed" ProgID="Equation.3" ShapeID="_x0000_i1026" DrawAspect="Content" ObjectID="_1468075726" r:id="rId10">
            <o:LockedField>false</o:LockedField>
          </o:OLEObject>
        </w:object>
      </w:r>
    </w:p>
    <w:p>
      <w:pPr>
        <w:pStyle w:val="19"/>
        <w:adjustRightInd w:val="0"/>
        <w:snapToGrid w:val="0"/>
        <w:ind w:firstLine="565" w:firstLineChars="202"/>
        <w:rPr>
          <w:rFonts w:hint="eastAsia" w:ascii="宋体" w:hAnsi="宋体"/>
          <w:bCs/>
          <w:color w:val="auto"/>
          <w:szCs w:val="28"/>
          <w:highlight w:val="none"/>
        </w:rPr>
      </w:pPr>
      <w:r>
        <w:rPr>
          <w:rFonts w:hint="eastAsia" w:ascii="宋体" w:hAnsi="宋体"/>
          <w:bCs/>
          <w:color w:val="auto"/>
          <w:szCs w:val="28"/>
          <w:highlight w:val="none"/>
        </w:rPr>
        <w:t>其中：L</w:t>
      </w:r>
      <w:r>
        <w:rPr>
          <w:rFonts w:hint="eastAsia" w:ascii="宋体" w:hAnsi="宋体"/>
          <w:bCs/>
          <w:color w:val="auto"/>
          <w:szCs w:val="28"/>
          <w:highlight w:val="none"/>
          <w:vertAlign w:val="subscript"/>
        </w:rPr>
        <w:t>i</w:t>
      </w:r>
      <w:r>
        <w:rPr>
          <w:rFonts w:hint="eastAsia" w:ascii="宋体" w:hAnsi="宋体"/>
          <w:bCs/>
          <w:color w:val="auto"/>
          <w:szCs w:val="28"/>
          <w:highlight w:val="none"/>
        </w:rPr>
        <w:t>为企业在某标段履约行为信用评价得分，L</w:t>
      </w:r>
      <w:r>
        <w:rPr>
          <w:rFonts w:hint="eastAsia" w:ascii="宋体" w:hAnsi="宋体"/>
          <w:bCs/>
          <w:color w:val="auto"/>
          <w:szCs w:val="28"/>
          <w:highlight w:val="none"/>
          <w:vertAlign w:val="subscript"/>
        </w:rPr>
        <w:t>i</w:t>
      </w:r>
      <w:r>
        <w:rPr>
          <w:rFonts w:hint="eastAsia" w:ascii="宋体" w:hAnsi="宋体"/>
          <w:bCs/>
          <w:color w:val="auto"/>
          <w:szCs w:val="28"/>
          <w:highlight w:val="none"/>
        </w:rPr>
        <w:t>≥0；</w:t>
      </w:r>
    </w:p>
    <w:p>
      <w:pPr>
        <w:pStyle w:val="19"/>
        <w:adjustRightInd w:val="0"/>
        <w:snapToGrid w:val="0"/>
        <w:ind w:firstLine="565" w:firstLineChars="202"/>
        <w:jc w:val="left"/>
        <w:rPr>
          <w:rFonts w:hint="eastAsia" w:ascii="宋体" w:hAnsi="宋体"/>
          <w:bCs/>
          <w:color w:val="auto"/>
          <w:szCs w:val="28"/>
          <w:highlight w:val="none"/>
        </w:rPr>
      </w:pPr>
      <w:r>
        <w:rPr>
          <w:rFonts w:hint="eastAsia" w:ascii="宋体" w:hAnsi="宋体"/>
          <w:bCs/>
          <w:color w:val="auto"/>
          <w:szCs w:val="28"/>
          <w:highlight w:val="none"/>
        </w:rPr>
        <w:t xml:space="preserve">      i为该标段履约失信行为项次；B</w:t>
      </w:r>
      <w:r>
        <w:rPr>
          <w:rFonts w:hint="eastAsia" w:ascii="宋体" w:hAnsi="宋体"/>
          <w:bCs/>
          <w:color w:val="auto"/>
          <w:szCs w:val="28"/>
          <w:highlight w:val="none"/>
          <w:vertAlign w:val="subscript"/>
        </w:rPr>
        <w:t>i</w:t>
      </w:r>
      <w:r>
        <w:rPr>
          <w:rFonts w:hint="eastAsia" w:ascii="宋体" w:hAnsi="宋体"/>
          <w:bCs/>
          <w:color w:val="auto"/>
          <w:szCs w:val="28"/>
          <w:highlight w:val="none"/>
        </w:rPr>
        <w:t>为履约失信行为对应的扣分。</w:t>
      </w:r>
    </w:p>
    <w:p>
      <w:pPr>
        <w:pStyle w:val="19"/>
        <w:adjustRightInd w:val="0"/>
        <w:snapToGrid w:val="0"/>
        <w:ind w:firstLine="568" w:firstLineChars="202"/>
        <w:rPr>
          <w:rFonts w:hint="eastAsia" w:ascii="宋体" w:hAnsi="宋体"/>
          <w:b/>
          <w:color w:val="auto"/>
          <w:szCs w:val="28"/>
          <w:highlight w:val="none"/>
        </w:rPr>
      </w:pPr>
      <w:r>
        <w:rPr>
          <w:rFonts w:hint="eastAsia" w:ascii="宋体" w:hAnsi="宋体"/>
          <w:b/>
          <w:color w:val="auto"/>
          <w:szCs w:val="28"/>
          <w:highlight w:val="none"/>
        </w:rPr>
        <w:t>二、省级综合评价</w:t>
      </w:r>
    </w:p>
    <w:p>
      <w:pPr>
        <w:pStyle w:val="19"/>
        <w:adjustRightInd w:val="0"/>
        <w:snapToGrid w:val="0"/>
        <w:ind w:firstLine="554" w:firstLineChars="198"/>
        <w:rPr>
          <w:rFonts w:hint="eastAsia" w:ascii="宋体" w:hAnsi="宋体"/>
          <w:bCs/>
          <w:color w:val="auto"/>
          <w:szCs w:val="28"/>
          <w:highlight w:val="none"/>
        </w:rPr>
      </w:pPr>
      <w:r>
        <w:rPr>
          <w:rFonts w:hint="eastAsia" w:ascii="宋体" w:hAnsi="宋体"/>
          <w:bCs/>
          <w:color w:val="auto"/>
          <w:szCs w:val="28"/>
          <w:highlight w:val="none"/>
        </w:rPr>
        <w:t>企业在评价期内某省份</w:t>
      </w:r>
      <w:r>
        <w:rPr>
          <w:rFonts w:hint="eastAsia" w:ascii="宋体" w:hAnsi="宋体"/>
          <w:bCs/>
          <w:strike w:val="0"/>
          <w:dstrike w:val="0"/>
          <w:color w:val="auto"/>
          <w:szCs w:val="28"/>
          <w:highlight w:val="none"/>
        </w:rPr>
        <w:t>或部属单位</w:t>
      </w:r>
      <w:r>
        <w:rPr>
          <w:rFonts w:hint="eastAsia" w:ascii="宋体" w:hAnsi="宋体"/>
          <w:bCs/>
          <w:color w:val="auto"/>
          <w:szCs w:val="28"/>
          <w:highlight w:val="none"/>
        </w:rPr>
        <w:t xml:space="preserve">投标行为评价得分和履约行为评价得分  </w:t>
      </w:r>
    </w:p>
    <w:p>
      <w:pPr>
        <w:pStyle w:val="19"/>
        <w:adjustRightInd w:val="0"/>
        <w:snapToGrid w:val="0"/>
        <w:ind w:firstLine="571" w:firstLineChars="204"/>
        <w:outlineLvl w:val="0"/>
        <w:rPr>
          <w:rFonts w:hint="eastAsia" w:ascii="宋体" w:hAnsi="宋体"/>
          <w:bCs/>
          <w:color w:val="auto"/>
          <w:szCs w:val="28"/>
          <w:highlight w:val="none"/>
        </w:rPr>
      </w:pPr>
      <w:r>
        <w:rPr>
          <w:rFonts w:hint="eastAsia" w:ascii="宋体" w:hAnsi="宋体"/>
          <w:bCs/>
          <w:color w:val="auto"/>
          <w:szCs w:val="28"/>
          <w:highlight w:val="none"/>
        </w:rPr>
        <w:t>1.企业投标行为评价得分：</w:t>
      </w:r>
      <w:r>
        <w:rPr>
          <w:rFonts w:hint="eastAsia" w:ascii="宋体" w:hAnsi="宋体"/>
          <w:bCs/>
          <w:color w:val="auto"/>
          <w:position w:val="-28"/>
          <w:szCs w:val="28"/>
          <w:highlight w:val="none"/>
        </w:rPr>
        <w:object>
          <v:shape id="_x0000_i1027" o:spt="75" type="#_x0000_t75" style="height:43.5pt;width:105.85pt;" o:ole="t" filled="f" stroked="f" coordsize="21600,21600">
            <v:path/>
            <v:fill on="f" focussize="0,0"/>
            <v:stroke on="f"/>
            <v:imagedata r:id="rId13" o:title=""/>
            <o:lock v:ext="edit" grouping="f" rotation="f" text="f" aspectratio="t"/>
            <w10:wrap type="none"/>
            <w10:anchorlock/>
          </v:shape>
          <o:OLEObject Type="Embed" ProgID="Equation.3" ShapeID="_x0000_i1027" DrawAspect="Content" ObjectID="_1468075727" r:id="rId12">
            <o:LockedField>false</o:LockedField>
          </o:OLEObject>
        </w:object>
      </w:r>
      <w:r>
        <w:rPr>
          <w:rFonts w:hint="eastAsia" w:ascii="宋体" w:hAnsi="宋体"/>
          <w:bCs/>
          <w:color w:val="auto"/>
          <w:szCs w:val="28"/>
          <w:highlight w:val="none"/>
        </w:rPr>
        <w:t xml:space="preserve"> </w:t>
      </w:r>
    </w:p>
    <w:p>
      <w:pPr>
        <w:pStyle w:val="19"/>
        <w:adjustRightInd w:val="0"/>
        <w:snapToGrid w:val="0"/>
        <w:ind w:left="359" w:leftChars="171" w:firstLine="420" w:firstLineChars="150"/>
        <w:rPr>
          <w:rFonts w:hint="eastAsia" w:ascii="宋体" w:hAnsi="宋体"/>
          <w:bCs/>
          <w:color w:val="auto"/>
          <w:szCs w:val="28"/>
          <w:highlight w:val="none"/>
        </w:rPr>
      </w:pPr>
      <w:r>
        <w:rPr>
          <w:rFonts w:hint="eastAsia" w:ascii="宋体" w:hAnsi="宋体"/>
          <w:bCs/>
          <w:color w:val="auto"/>
          <w:szCs w:val="28"/>
          <w:highlight w:val="none"/>
        </w:rPr>
        <w:t>其中：n为投标存在失信行为的标段数，若n&gt;2,则T=0；若企业无失信行为，则T=15。</w:t>
      </w:r>
    </w:p>
    <w:p>
      <w:pPr>
        <w:pStyle w:val="19"/>
        <w:adjustRightInd w:val="0"/>
        <w:snapToGrid w:val="0"/>
        <w:ind w:firstLineChars="196"/>
        <w:outlineLvl w:val="0"/>
        <w:rPr>
          <w:rFonts w:hint="eastAsia" w:ascii="宋体" w:hAnsi="宋体"/>
          <w:bCs/>
          <w:color w:val="auto"/>
          <w:szCs w:val="28"/>
          <w:highlight w:val="none"/>
        </w:rPr>
      </w:pPr>
      <w:r>
        <w:rPr>
          <w:rFonts w:hint="eastAsia" w:ascii="宋体" w:hAnsi="宋体"/>
          <w:bCs/>
          <w:color w:val="auto"/>
          <w:szCs w:val="28"/>
          <w:highlight w:val="none"/>
        </w:rPr>
        <w:t>2.企业履约行为评价得分：</w:t>
      </w:r>
      <w:r>
        <w:rPr>
          <w:rFonts w:hint="eastAsia" w:ascii="宋体" w:hAnsi="宋体"/>
          <w:bCs/>
          <w:color w:val="auto"/>
          <w:position w:val="-28"/>
          <w:szCs w:val="28"/>
          <w:highlight w:val="none"/>
        </w:rPr>
        <w:object>
          <v:shape id="_x0000_i1028" o:spt="75" type="#_x0000_t75" style="height:43.5pt;width:118.75pt;" o:ole="t" filled="f" stroked="f" coordsize="21600,21600">
            <v:path/>
            <v:fill on="f" focussize="0,0"/>
            <v:stroke on="f"/>
            <v:imagedata r:id="rId15" o:title=""/>
            <o:lock v:ext="edit" grouping="f" rotation="f" text="f" aspectratio="t"/>
            <w10:wrap type="none"/>
            <w10:anchorlock/>
          </v:shape>
          <o:OLEObject Type="Embed" ProgID="Equation.3" ShapeID="_x0000_i1028" DrawAspect="Content" ObjectID="_1468075728" r:id="rId14">
            <o:LockedField>false</o:LockedField>
          </o:OLEObject>
        </w:object>
      </w:r>
    </w:p>
    <w:p>
      <w:pPr>
        <w:pStyle w:val="19"/>
        <w:adjustRightInd w:val="0"/>
        <w:snapToGrid w:val="0"/>
        <w:ind w:left="359" w:leftChars="171" w:firstLine="420" w:firstLineChars="150"/>
        <w:rPr>
          <w:rFonts w:hint="eastAsia" w:ascii="宋体" w:hAnsi="宋体"/>
          <w:bCs/>
          <w:color w:val="auto"/>
          <w:szCs w:val="28"/>
          <w:highlight w:val="none"/>
        </w:rPr>
      </w:pPr>
      <w:r>
        <w:rPr>
          <w:rFonts w:hint="eastAsia" w:ascii="宋体" w:hAnsi="宋体"/>
          <w:bCs/>
          <w:color w:val="auto"/>
          <w:szCs w:val="28"/>
          <w:highlight w:val="none"/>
        </w:rPr>
        <w:t>其中：m为履约标段数。</w:t>
      </w:r>
    </w:p>
    <w:p>
      <w:pPr>
        <w:pStyle w:val="19"/>
        <w:adjustRightInd w:val="0"/>
        <w:snapToGrid w:val="0"/>
        <w:ind w:firstLine="565" w:firstLineChars="202"/>
        <w:outlineLvl w:val="0"/>
        <w:rPr>
          <w:rFonts w:hint="eastAsia" w:ascii="宋体" w:hAnsi="宋体"/>
          <w:bCs/>
          <w:color w:val="auto"/>
          <w:szCs w:val="28"/>
          <w:highlight w:val="none"/>
        </w:rPr>
      </w:pPr>
      <w:r>
        <w:rPr>
          <w:rFonts w:hint="eastAsia" w:ascii="宋体" w:hAnsi="宋体"/>
          <w:bCs/>
          <w:color w:val="auto"/>
          <w:szCs w:val="28"/>
          <w:highlight w:val="none"/>
        </w:rPr>
        <w:t>3.企业其他行为信用评价得分： Q = 15- F</w:t>
      </w:r>
      <w:r>
        <w:rPr>
          <w:rFonts w:hint="eastAsia" w:ascii="宋体" w:hAnsi="宋体"/>
          <w:bCs/>
          <w:color w:val="auto"/>
          <w:szCs w:val="28"/>
          <w:highlight w:val="none"/>
          <w:vertAlign w:val="subscript"/>
        </w:rPr>
        <w:t>k</w:t>
      </w:r>
    </w:p>
    <w:p>
      <w:pPr>
        <w:pStyle w:val="19"/>
        <w:adjustRightInd w:val="0"/>
        <w:snapToGrid w:val="0"/>
        <w:ind w:firstLine="985" w:firstLineChars="352"/>
        <w:rPr>
          <w:rFonts w:hint="eastAsia" w:ascii="宋体" w:hAnsi="宋体"/>
          <w:bCs/>
          <w:color w:val="auto"/>
          <w:szCs w:val="28"/>
          <w:highlight w:val="none"/>
          <w:vertAlign w:val="subscript"/>
        </w:rPr>
      </w:pPr>
      <w:r>
        <w:rPr>
          <w:rFonts w:hint="eastAsia" w:ascii="宋体" w:hAnsi="宋体"/>
          <w:bCs/>
          <w:color w:val="auto"/>
          <w:szCs w:val="28"/>
          <w:highlight w:val="none"/>
        </w:rPr>
        <w:t>其中：Q为其他信用行为得分；</w:t>
      </w:r>
    </w:p>
    <w:p>
      <w:pPr>
        <w:pStyle w:val="19"/>
        <w:adjustRightInd w:val="0"/>
        <w:snapToGrid w:val="0"/>
        <w:ind w:left="-718" w:firstLine="470" w:firstLineChars="168"/>
        <w:rPr>
          <w:rFonts w:hint="eastAsia" w:ascii="宋体" w:hAnsi="宋体"/>
          <w:bCs/>
          <w:color w:val="auto"/>
          <w:szCs w:val="28"/>
          <w:highlight w:val="none"/>
        </w:rPr>
      </w:pPr>
      <w:r>
        <w:rPr>
          <w:rFonts w:hint="eastAsia" w:ascii="宋体" w:hAnsi="宋体"/>
          <w:bCs/>
          <w:color w:val="auto"/>
          <w:szCs w:val="28"/>
          <w:highlight w:val="none"/>
        </w:rPr>
        <w:t xml:space="preserve">               F</w:t>
      </w:r>
      <w:r>
        <w:rPr>
          <w:rFonts w:hint="eastAsia" w:ascii="宋体" w:hAnsi="宋体"/>
          <w:bCs/>
          <w:color w:val="auto"/>
          <w:szCs w:val="28"/>
          <w:highlight w:val="none"/>
          <w:vertAlign w:val="subscript"/>
        </w:rPr>
        <w:t>k</w:t>
      </w:r>
      <w:r>
        <w:rPr>
          <w:rFonts w:hint="eastAsia" w:ascii="宋体" w:hAnsi="宋体"/>
          <w:bCs/>
          <w:color w:val="auto"/>
          <w:szCs w:val="28"/>
          <w:highlight w:val="none"/>
        </w:rPr>
        <w:t>为其他信用失信行为的扣分值。</w:t>
      </w:r>
    </w:p>
    <w:p>
      <w:pPr>
        <w:pStyle w:val="19"/>
        <w:adjustRightInd w:val="0"/>
        <w:snapToGrid w:val="0"/>
        <w:ind w:firstLine="708" w:firstLineChars="253"/>
        <w:rPr>
          <w:rFonts w:hint="eastAsia" w:ascii="宋体" w:hAnsi="宋体"/>
          <w:bCs/>
          <w:strike w:val="0"/>
          <w:dstrike w:val="0"/>
          <w:color w:val="auto"/>
          <w:szCs w:val="28"/>
          <w:highlight w:val="none"/>
        </w:rPr>
      </w:pPr>
      <w:r>
        <w:rPr>
          <w:rFonts w:hint="eastAsia" w:ascii="宋体" w:hAnsi="宋体"/>
          <w:bCs/>
          <w:color w:val="auto"/>
          <w:szCs w:val="28"/>
          <w:highlight w:val="none"/>
        </w:rPr>
        <w:t>4.企业在从业省份</w:t>
      </w:r>
      <w:r>
        <w:rPr>
          <w:rFonts w:hint="eastAsia" w:ascii="宋体" w:hAnsi="宋体"/>
          <w:bCs/>
          <w:strike w:val="0"/>
          <w:dstrike w:val="0"/>
          <w:color w:val="auto"/>
          <w:szCs w:val="28"/>
          <w:highlight w:val="none"/>
        </w:rPr>
        <w:t>或部属单位信用行为综合评分：</w:t>
      </w:r>
    </w:p>
    <w:p>
      <w:pPr>
        <w:pStyle w:val="19"/>
        <w:adjustRightInd w:val="0"/>
        <w:snapToGrid w:val="0"/>
        <w:ind w:firstLine="1260" w:firstLineChars="450"/>
        <w:outlineLvl w:val="0"/>
        <w:rPr>
          <w:rFonts w:hint="eastAsia" w:ascii="宋体" w:hAnsi="宋体"/>
          <w:bCs/>
          <w:strike w:val="0"/>
          <w:dstrike w:val="0"/>
          <w:color w:val="auto"/>
          <w:szCs w:val="28"/>
          <w:highlight w:val="none"/>
        </w:rPr>
      </w:pPr>
      <w:r>
        <w:rPr>
          <w:rFonts w:hint="eastAsia" w:ascii="宋体" w:hAnsi="宋体"/>
          <w:bCs/>
          <w:strike w:val="0"/>
          <w:dstrike w:val="0"/>
          <w:color w:val="auto"/>
          <w:szCs w:val="28"/>
          <w:highlight w:val="none"/>
        </w:rPr>
        <w:t>X</w:t>
      </w:r>
      <w:r>
        <w:rPr>
          <w:rFonts w:hint="eastAsia" w:ascii="宋体" w:hAnsi="宋体"/>
          <w:bCs/>
          <w:strike w:val="0"/>
          <w:dstrike w:val="0"/>
          <w:color w:val="auto"/>
          <w:szCs w:val="28"/>
          <w:highlight w:val="none"/>
          <w:vertAlign w:val="subscript"/>
        </w:rPr>
        <w:t>s</w:t>
      </w:r>
      <w:r>
        <w:rPr>
          <w:rFonts w:hint="eastAsia" w:ascii="宋体" w:hAnsi="宋体"/>
          <w:bCs/>
          <w:strike w:val="0"/>
          <w:dstrike w:val="0"/>
          <w:color w:val="auto"/>
          <w:szCs w:val="28"/>
          <w:highlight w:val="none"/>
        </w:rPr>
        <w:t xml:space="preserve"> =（T + L + Q ）a+xb+yc+J</w:t>
      </w:r>
    </w:p>
    <w:p>
      <w:pPr>
        <w:pStyle w:val="19"/>
        <w:adjustRightInd w:val="0"/>
        <w:snapToGrid w:val="0"/>
        <w:ind w:firstLine="0" w:firstLineChars="0"/>
        <w:rPr>
          <w:rFonts w:hint="eastAsia" w:ascii="宋体" w:hAnsi="宋体"/>
          <w:bCs/>
          <w:color w:val="auto"/>
          <w:szCs w:val="28"/>
          <w:highlight w:val="none"/>
        </w:rPr>
      </w:pPr>
      <w:r>
        <w:rPr>
          <w:rFonts w:hint="eastAsia" w:ascii="宋体" w:hAnsi="宋体"/>
          <w:bCs/>
          <w:strike w:val="0"/>
          <w:dstrike w:val="0"/>
          <w:color w:val="auto"/>
          <w:szCs w:val="28"/>
          <w:highlight w:val="none"/>
        </w:rPr>
        <w:t xml:space="preserve">      其中：X</w:t>
      </w:r>
      <w:r>
        <w:rPr>
          <w:rFonts w:hint="eastAsia" w:ascii="宋体" w:hAnsi="宋体"/>
          <w:bCs/>
          <w:strike w:val="0"/>
          <w:dstrike w:val="0"/>
          <w:color w:val="auto"/>
          <w:szCs w:val="28"/>
          <w:highlight w:val="none"/>
          <w:vertAlign w:val="subscript"/>
        </w:rPr>
        <w:t>s</w:t>
      </w:r>
      <w:r>
        <w:rPr>
          <w:rFonts w:hint="eastAsia" w:ascii="宋体" w:hAnsi="宋体"/>
          <w:bCs/>
          <w:strike w:val="0"/>
          <w:dstrike w:val="0"/>
          <w:color w:val="auto"/>
          <w:szCs w:val="28"/>
          <w:highlight w:val="none"/>
        </w:rPr>
        <w:t>：从业企业在该省或部属单位评</w:t>
      </w:r>
      <w:r>
        <w:rPr>
          <w:rFonts w:hint="eastAsia" w:ascii="宋体" w:hAnsi="宋体"/>
          <w:bCs/>
          <w:color w:val="auto"/>
          <w:szCs w:val="28"/>
          <w:highlight w:val="none"/>
        </w:rPr>
        <w:t>价期内信用评价得分；</w:t>
      </w:r>
    </w:p>
    <w:p>
      <w:pPr>
        <w:pStyle w:val="19"/>
        <w:adjustRightInd w:val="0"/>
        <w:snapToGrid w:val="0"/>
        <w:ind w:firstLine="1680" w:firstLineChars="600"/>
        <w:rPr>
          <w:rFonts w:hint="eastAsia" w:ascii="宋体" w:hAnsi="宋体"/>
          <w:bCs/>
          <w:color w:val="auto"/>
          <w:szCs w:val="28"/>
          <w:highlight w:val="none"/>
        </w:rPr>
      </w:pPr>
      <w:r>
        <w:rPr>
          <w:rFonts w:hint="eastAsia" w:ascii="宋体" w:hAnsi="宋体"/>
          <w:bCs/>
          <w:color w:val="auto"/>
          <w:szCs w:val="28"/>
          <w:highlight w:val="none"/>
        </w:rPr>
        <w:t>T：企业投标行为评价得分；</w:t>
      </w:r>
    </w:p>
    <w:p>
      <w:pPr>
        <w:pStyle w:val="19"/>
        <w:adjustRightInd w:val="0"/>
        <w:snapToGrid w:val="0"/>
        <w:ind w:firstLine="1680" w:firstLineChars="600"/>
        <w:rPr>
          <w:rFonts w:hint="eastAsia" w:ascii="宋体" w:hAnsi="宋体"/>
          <w:bCs/>
          <w:color w:val="auto"/>
          <w:szCs w:val="28"/>
          <w:highlight w:val="none"/>
        </w:rPr>
      </w:pPr>
      <w:r>
        <w:rPr>
          <w:rFonts w:hint="eastAsia" w:ascii="宋体" w:hAnsi="宋体"/>
          <w:bCs/>
          <w:color w:val="auto"/>
          <w:szCs w:val="28"/>
          <w:highlight w:val="none"/>
        </w:rPr>
        <w:t xml:space="preserve">L：企业履约行为评价得分； </w:t>
      </w:r>
    </w:p>
    <w:p>
      <w:pPr>
        <w:pStyle w:val="19"/>
        <w:adjustRightInd w:val="0"/>
        <w:snapToGrid w:val="0"/>
        <w:ind w:firstLine="1680" w:firstLineChars="600"/>
        <w:rPr>
          <w:rFonts w:hint="eastAsia" w:ascii="宋体" w:hAnsi="宋体"/>
          <w:bCs/>
          <w:color w:val="auto"/>
          <w:szCs w:val="28"/>
          <w:highlight w:val="none"/>
        </w:rPr>
      </w:pPr>
      <w:r>
        <w:rPr>
          <w:rFonts w:hint="eastAsia" w:ascii="宋体" w:hAnsi="宋体"/>
          <w:bCs/>
          <w:color w:val="auto"/>
          <w:szCs w:val="28"/>
          <w:highlight w:val="none"/>
        </w:rPr>
        <w:t>Q：其他信用行为评价得分；</w:t>
      </w:r>
    </w:p>
    <w:p>
      <w:pPr>
        <w:pStyle w:val="19"/>
        <w:adjustRightInd w:val="0"/>
        <w:snapToGrid w:val="0"/>
        <w:ind w:firstLine="1680" w:firstLineChars="600"/>
        <w:rPr>
          <w:rFonts w:hint="eastAsia" w:ascii="宋体" w:hAnsi="宋体"/>
          <w:bCs/>
          <w:color w:val="auto"/>
          <w:szCs w:val="28"/>
          <w:highlight w:val="none"/>
        </w:rPr>
      </w:pPr>
      <w:r>
        <w:rPr>
          <w:rFonts w:hint="eastAsia" w:ascii="宋体" w:hAnsi="宋体"/>
          <w:bCs/>
          <w:color w:val="auto"/>
          <w:szCs w:val="28"/>
          <w:highlight w:val="none"/>
        </w:rPr>
        <w:t>a：当年权重系数，取值：70%；</w:t>
      </w:r>
    </w:p>
    <w:p>
      <w:pPr>
        <w:pStyle w:val="19"/>
        <w:tabs>
          <w:tab w:val="left" w:pos="4764"/>
        </w:tabs>
        <w:adjustRightInd w:val="0"/>
        <w:snapToGrid w:val="0"/>
        <w:ind w:left="2026" w:leftChars="765" w:hanging="420" w:hangingChars="150"/>
        <w:rPr>
          <w:rFonts w:hint="eastAsia" w:ascii="宋体" w:hAnsi="宋体"/>
          <w:bCs/>
          <w:color w:val="auto"/>
          <w:szCs w:val="28"/>
          <w:highlight w:val="none"/>
        </w:rPr>
      </w:pPr>
      <w:r>
        <w:rPr>
          <w:rFonts w:hint="eastAsia" w:ascii="宋体" w:hAnsi="宋体"/>
          <w:bCs/>
          <w:color w:val="auto"/>
          <w:szCs w:val="28"/>
          <w:highlight w:val="none"/>
        </w:rPr>
        <w:t>x：前一年度信用得分。当前一年度信用评价等级直接定为D级的，信用得分按50分计；</w:t>
      </w:r>
      <w:r>
        <w:rPr>
          <w:rFonts w:hint="eastAsia" w:ascii="宋体" w:hAnsi="宋体"/>
          <w:bCs/>
          <w:color w:val="auto"/>
          <w:szCs w:val="28"/>
          <w:highlight w:val="none"/>
        </w:rPr>
        <w:tab/>
      </w:r>
    </w:p>
    <w:p>
      <w:pPr>
        <w:pStyle w:val="19"/>
        <w:adjustRightInd w:val="0"/>
        <w:snapToGrid w:val="0"/>
        <w:ind w:firstLine="1680" w:firstLineChars="600"/>
        <w:rPr>
          <w:rFonts w:hint="eastAsia" w:ascii="宋体" w:hAnsi="宋体"/>
          <w:bCs/>
          <w:color w:val="auto"/>
          <w:szCs w:val="28"/>
          <w:highlight w:val="none"/>
        </w:rPr>
      </w:pPr>
      <w:r>
        <w:rPr>
          <w:rFonts w:hint="eastAsia" w:ascii="宋体" w:hAnsi="宋体"/>
          <w:bCs/>
          <w:color w:val="auto"/>
          <w:szCs w:val="28"/>
          <w:highlight w:val="none"/>
        </w:rPr>
        <w:t>b：前一年度信用分权重系数，取值：20%；</w:t>
      </w:r>
    </w:p>
    <w:p>
      <w:pPr>
        <w:pStyle w:val="19"/>
        <w:tabs>
          <w:tab w:val="left" w:pos="4764"/>
        </w:tabs>
        <w:adjustRightInd w:val="0"/>
        <w:snapToGrid w:val="0"/>
        <w:ind w:left="2026" w:leftChars="765" w:hanging="420" w:hangingChars="150"/>
        <w:rPr>
          <w:rFonts w:hint="eastAsia" w:ascii="宋体" w:hAnsi="宋体"/>
          <w:bCs/>
          <w:color w:val="auto"/>
          <w:szCs w:val="28"/>
          <w:highlight w:val="none"/>
        </w:rPr>
      </w:pPr>
      <w:r>
        <w:rPr>
          <w:rFonts w:hint="eastAsia" w:ascii="宋体" w:hAnsi="宋体"/>
          <w:bCs/>
          <w:color w:val="auto"/>
          <w:szCs w:val="28"/>
          <w:highlight w:val="none"/>
        </w:rPr>
        <w:t>y：前两年度信用得分。当前两年度信用评价等级直接定为D级的，信用得分按50分计；</w:t>
      </w:r>
    </w:p>
    <w:p>
      <w:pPr>
        <w:pStyle w:val="19"/>
        <w:adjustRightInd w:val="0"/>
        <w:snapToGrid w:val="0"/>
        <w:ind w:firstLine="1680" w:firstLineChars="600"/>
        <w:rPr>
          <w:rFonts w:hint="eastAsia" w:ascii="宋体" w:hAnsi="宋体"/>
          <w:bCs/>
          <w:color w:val="auto"/>
          <w:szCs w:val="28"/>
          <w:highlight w:val="none"/>
        </w:rPr>
      </w:pPr>
      <w:r>
        <w:rPr>
          <w:rFonts w:hint="eastAsia" w:ascii="宋体" w:hAnsi="宋体"/>
          <w:bCs/>
          <w:color w:val="auto"/>
          <w:szCs w:val="28"/>
          <w:highlight w:val="none"/>
        </w:rPr>
        <w:t>c：前两年度信用分权重系数，取值：10%。</w:t>
      </w:r>
    </w:p>
    <w:p>
      <w:pPr>
        <w:pStyle w:val="19"/>
        <w:adjustRightInd w:val="0"/>
        <w:snapToGrid w:val="0"/>
        <w:ind w:firstLine="1680" w:firstLineChars="600"/>
        <w:rPr>
          <w:rFonts w:hint="eastAsia" w:ascii="宋体" w:hAnsi="宋体" w:eastAsia="宋体"/>
          <w:bCs/>
          <w:color w:val="auto"/>
          <w:szCs w:val="28"/>
          <w:highlight w:val="none"/>
          <w:lang w:eastAsia="zh-CN"/>
        </w:rPr>
      </w:pPr>
      <w:r>
        <w:rPr>
          <w:rFonts w:hint="eastAsia" w:ascii="宋体" w:hAnsi="宋体"/>
          <w:bCs/>
          <w:color w:val="auto"/>
          <w:szCs w:val="28"/>
          <w:highlight w:val="none"/>
        </w:rPr>
        <w:t>J: 根据本办法第十</w:t>
      </w:r>
      <w:r>
        <w:rPr>
          <w:rFonts w:hint="eastAsia" w:ascii="宋体" w:hAnsi="宋体"/>
          <w:bCs/>
          <w:color w:val="auto"/>
          <w:szCs w:val="28"/>
          <w:highlight w:val="none"/>
          <w:lang w:val="en-US" w:eastAsia="zh-CN"/>
        </w:rPr>
        <w:t>五</w:t>
      </w:r>
      <w:r>
        <w:rPr>
          <w:rFonts w:hint="eastAsia" w:ascii="宋体" w:hAnsi="宋体"/>
          <w:bCs/>
          <w:color w:val="auto"/>
          <w:szCs w:val="28"/>
          <w:highlight w:val="none"/>
        </w:rPr>
        <w:t>条规定给予的加分。</w:t>
      </w:r>
    </w:p>
    <w:p>
      <w:pPr>
        <w:pStyle w:val="19"/>
        <w:adjustRightInd w:val="0"/>
        <w:snapToGrid w:val="0"/>
        <w:ind w:firstLine="0" w:firstLineChars="0"/>
        <w:rPr>
          <w:rFonts w:hint="eastAsia" w:ascii="宋体" w:hAnsi="宋体"/>
          <w:bCs/>
          <w:color w:val="auto"/>
          <w:szCs w:val="28"/>
          <w:highlight w:val="none"/>
        </w:rPr>
      </w:pPr>
      <w:r>
        <w:rPr>
          <w:rFonts w:hint="eastAsia" w:ascii="宋体" w:hAnsi="宋体"/>
          <w:bCs/>
          <w:color w:val="auto"/>
          <w:szCs w:val="28"/>
          <w:highlight w:val="none"/>
        </w:rPr>
        <w:t>说明：</w:t>
      </w:r>
    </w:p>
    <w:p>
      <w:pPr>
        <w:pStyle w:val="19"/>
        <w:adjustRightInd w:val="0"/>
        <w:snapToGrid w:val="0"/>
        <w:ind w:firstLine="560"/>
        <w:rPr>
          <w:rFonts w:hint="eastAsia" w:ascii="宋体" w:hAnsi="宋体"/>
          <w:bCs/>
          <w:color w:val="auto"/>
          <w:szCs w:val="28"/>
          <w:highlight w:val="none"/>
        </w:rPr>
      </w:pPr>
      <w:r>
        <w:rPr>
          <w:rFonts w:hint="eastAsia" w:ascii="宋体" w:hAnsi="宋体"/>
          <w:bCs/>
          <w:color w:val="auto"/>
          <w:szCs w:val="28"/>
          <w:highlight w:val="none"/>
        </w:rPr>
        <w:t>1.企业当年无履约行为、仅有投标行为但无失信行为的，不进行综合评价。</w:t>
      </w:r>
    </w:p>
    <w:p>
      <w:pPr>
        <w:pStyle w:val="19"/>
        <w:adjustRightInd w:val="0"/>
        <w:snapToGrid w:val="0"/>
        <w:ind w:firstLine="560"/>
        <w:rPr>
          <w:rFonts w:hint="eastAsia" w:ascii="宋体" w:hAnsi="宋体"/>
          <w:bCs/>
          <w:color w:val="auto"/>
          <w:szCs w:val="28"/>
          <w:highlight w:val="none"/>
        </w:rPr>
      </w:pPr>
      <w:r>
        <w:rPr>
          <w:rFonts w:hint="eastAsia" w:ascii="宋体" w:hAnsi="宋体"/>
          <w:bCs/>
          <w:color w:val="auto"/>
          <w:szCs w:val="28"/>
          <w:highlight w:val="none"/>
        </w:rPr>
        <w:t>2.企业当年无履约行为、仅有投标行为且有失信行为的，进行综合评价，L按65分取值。</w:t>
      </w:r>
    </w:p>
    <w:p>
      <w:pPr>
        <w:pStyle w:val="19"/>
        <w:adjustRightInd w:val="0"/>
        <w:snapToGrid w:val="0"/>
        <w:ind w:firstLine="560"/>
        <w:rPr>
          <w:rFonts w:hint="eastAsia" w:ascii="宋体" w:hAnsi="宋体"/>
          <w:bCs/>
          <w:color w:val="auto"/>
          <w:szCs w:val="28"/>
          <w:highlight w:val="none"/>
        </w:rPr>
      </w:pPr>
      <w:r>
        <w:rPr>
          <w:rFonts w:hint="eastAsia" w:ascii="宋体" w:hAnsi="宋体"/>
          <w:bCs/>
          <w:color w:val="auto"/>
          <w:szCs w:val="28"/>
          <w:highlight w:val="none"/>
        </w:rPr>
        <w:t>3.企业当年无投标行为但有履约行为的，T按15分取值。</w:t>
      </w:r>
    </w:p>
    <w:p>
      <w:pPr>
        <w:pStyle w:val="19"/>
        <w:adjustRightInd w:val="0"/>
        <w:snapToGrid w:val="0"/>
        <w:ind w:firstLine="560"/>
        <w:rPr>
          <w:rFonts w:hint="eastAsia" w:ascii="宋体" w:hAnsi="宋体" w:cs="宋体"/>
          <w:bCs/>
          <w:color w:val="auto"/>
          <w:kern w:val="0"/>
          <w:sz w:val="28"/>
          <w:szCs w:val="28"/>
          <w:highlight w:val="none"/>
        </w:rPr>
      </w:pPr>
      <w:r>
        <w:rPr>
          <w:rFonts w:hint="eastAsia" w:ascii="宋体" w:hAnsi="宋体"/>
          <w:bCs/>
          <w:color w:val="auto"/>
          <w:szCs w:val="28"/>
          <w:highlight w:val="none"/>
        </w:rPr>
        <w:t xml:space="preserve">4.企业第一年参加信用评价时，a=100%，第二年参加信用评价时，a=80%、b=20%。 </w:t>
      </w:r>
    </w:p>
    <w:sectPr>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4</w:t>
    </w:r>
    <w:r>
      <w:rPr>
        <w:lang w:val="zh-CN"/>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w:t>
    </w:r>
    <w:r>
      <w:rPr>
        <w:lang w:val="zh-CN"/>
      </w:rP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89412"/>
    <w:multiLevelType w:val="singleLevel"/>
    <w:tmpl w:val="A5089412"/>
    <w:lvl w:ilvl="0" w:tentative="0">
      <w:start w:val="1"/>
      <w:numFmt w:val="chineseCounting"/>
      <w:suff w:val="space"/>
      <w:lvlText w:val="第%1条"/>
      <w:lvlJc w:val="left"/>
      <w:rPr>
        <w:rFonts w:hint="eastAsia"/>
        <w:b/>
        <w:bCs/>
        <w:color w:val="auto"/>
      </w:rPr>
    </w:lvl>
  </w:abstractNum>
  <w:abstractNum w:abstractNumId="1">
    <w:nsid w:val="A6A02E87"/>
    <w:multiLevelType w:val="singleLevel"/>
    <w:tmpl w:val="A6A02E87"/>
    <w:lvl w:ilvl="0" w:tentative="0">
      <w:start w:val="1"/>
      <w:numFmt w:val="chineseCounting"/>
      <w:suff w:val="nothing"/>
      <w:lvlText w:val="（%1）"/>
      <w:lvlJc w:val="left"/>
      <w:rPr>
        <w:rFonts w:hint="eastAsia"/>
      </w:rPr>
    </w:lvl>
  </w:abstractNum>
  <w:abstractNum w:abstractNumId="2">
    <w:nsid w:val="3D2A70FE"/>
    <w:multiLevelType w:val="singleLevel"/>
    <w:tmpl w:val="3D2A70FE"/>
    <w:lvl w:ilvl="0" w:tentative="0">
      <w:start w:val="1"/>
      <w:numFmt w:val="chineseCounting"/>
      <w:suff w:val="nothing"/>
      <w:lvlText w:val="（%1）"/>
      <w:lvlJc w:val="left"/>
      <w:rPr>
        <w:rFonts w:hint="eastAsia"/>
      </w:rPr>
    </w:lvl>
  </w:abstractNum>
  <w:abstractNum w:abstractNumId="3">
    <w:nsid w:val="62B92832"/>
    <w:multiLevelType w:val="singleLevel"/>
    <w:tmpl w:val="62B9283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1ZWFkYzdjNmM4MmYxZmIwNzEyZjk0ZDlmMTEyZjYifQ=="/>
  </w:docVars>
  <w:rsids>
    <w:rsidRoot w:val="00172A27"/>
    <w:rsid w:val="000D6D70"/>
    <w:rsid w:val="000F2C84"/>
    <w:rsid w:val="00117FB9"/>
    <w:rsid w:val="00185A78"/>
    <w:rsid w:val="001D7501"/>
    <w:rsid w:val="001E6404"/>
    <w:rsid w:val="001F50C6"/>
    <w:rsid w:val="0029345A"/>
    <w:rsid w:val="003265D6"/>
    <w:rsid w:val="00345CD1"/>
    <w:rsid w:val="004C23B2"/>
    <w:rsid w:val="005B2CF3"/>
    <w:rsid w:val="00697346"/>
    <w:rsid w:val="007D5730"/>
    <w:rsid w:val="00815390"/>
    <w:rsid w:val="00920F09"/>
    <w:rsid w:val="009A5573"/>
    <w:rsid w:val="00A05ACD"/>
    <w:rsid w:val="00A80FA8"/>
    <w:rsid w:val="00AD7D78"/>
    <w:rsid w:val="00C0300A"/>
    <w:rsid w:val="00D70917"/>
    <w:rsid w:val="00D77125"/>
    <w:rsid w:val="00DD26BD"/>
    <w:rsid w:val="00F53395"/>
    <w:rsid w:val="00F73B24"/>
    <w:rsid w:val="00FF24FE"/>
    <w:rsid w:val="010102A7"/>
    <w:rsid w:val="01415CD2"/>
    <w:rsid w:val="019B4927"/>
    <w:rsid w:val="01CB0F01"/>
    <w:rsid w:val="02FB1D98"/>
    <w:rsid w:val="03123591"/>
    <w:rsid w:val="0314671B"/>
    <w:rsid w:val="032B2F67"/>
    <w:rsid w:val="038555DD"/>
    <w:rsid w:val="03AA53C2"/>
    <w:rsid w:val="03DF57D9"/>
    <w:rsid w:val="04036DAD"/>
    <w:rsid w:val="041E273D"/>
    <w:rsid w:val="043F32E6"/>
    <w:rsid w:val="0481394E"/>
    <w:rsid w:val="04B80FCA"/>
    <w:rsid w:val="04F509AB"/>
    <w:rsid w:val="04F5266B"/>
    <w:rsid w:val="05302971"/>
    <w:rsid w:val="05773F21"/>
    <w:rsid w:val="0595517C"/>
    <w:rsid w:val="05A11179"/>
    <w:rsid w:val="05A82D9C"/>
    <w:rsid w:val="05ED01D7"/>
    <w:rsid w:val="05F90B12"/>
    <w:rsid w:val="06227041"/>
    <w:rsid w:val="062F4CCC"/>
    <w:rsid w:val="06854F62"/>
    <w:rsid w:val="06D36D88"/>
    <w:rsid w:val="074A0537"/>
    <w:rsid w:val="07964300"/>
    <w:rsid w:val="07A52382"/>
    <w:rsid w:val="07BF12C2"/>
    <w:rsid w:val="07DE62F4"/>
    <w:rsid w:val="082D45B9"/>
    <w:rsid w:val="08E75375"/>
    <w:rsid w:val="094F780A"/>
    <w:rsid w:val="098D534B"/>
    <w:rsid w:val="098E7A0E"/>
    <w:rsid w:val="09BE2A36"/>
    <w:rsid w:val="0A351CCC"/>
    <w:rsid w:val="0B2360D1"/>
    <w:rsid w:val="0B420DCB"/>
    <w:rsid w:val="0B4D569A"/>
    <w:rsid w:val="0B992870"/>
    <w:rsid w:val="0BA44580"/>
    <w:rsid w:val="0BB449C6"/>
    <w:rsid w:val="0BF14233"/>
    <w:rsid w:val="0BF160FC"/>
    <w:rsid w:val="0C5F5360"/>
    <w:rsid w:val="0C9F7B9F"/>
    <w:rsid w:val="0CB17E61"/>
    <w:rsid w:val="0CD25A79"/>
    <w:rsid w:val="0D206112"/>
    <w:rsid w:val="0D277512"/>
    <w:rsid w:val="0D465725"/>
    <w:rsid w:val="0D7A5002"/>
    <w:rsid w:val="0D91571B"/>
    <w:rsid w:val="0DA33D4D"/>
    <w:rsid w:val="0DA84573"/>
    <w:rsid w:val="0DE85960"/>
    <w:rsid w:val="0E511664"/>
    <w:rsid w:val="0E666D78"/>
    <w:rsid w:val="0E6D6A5B"/>
    <w:rsid w:val="0EC33BD9"/>
    <w:rsid w:val="0F195CD1"/>
    <w:rsid w:val="0F1C24D9"/>
    <w:rsid w:val="0F317227"/>
    <w:rsid w:val="0F58360F"/>
    <w:rsid w:val="0FBD24BC"/>
    <w:rsid w:val="0FD57F70"/>
    <w:rsid w:val="107131DD"/>
    <w:rsid w:val="10FD6F60"/>
    <w:rsid w:val="113C43C4"/>
    <w:rsid w:val="11A35770"/>
    <w:rsid w:val="124E5197"/>
    <w:rsid w:val="1295728D"/>
    <w:rsid w:val="12D93FBD"/>
    <w:rsid w:val="132E323B"/>
    <w:rsid w:val="13691FB3"/>
    <w:rsid w:val="13A670CA"/>
    <w:rsid w:val="13BD4CCF"/>
    <w:rsid w:val="13EC6C5C"/>
    <w:rsid w:val="1404282B"/>
    <w:rsid w:val="146801D6"/>
    <w:rsid w:val="14AB6978"/>
    <w:rsid w:val="14AC0B76"/>
    <w:rsid w:val="14B51486"/>
    <w:rsid w:val="150274AD"/>
    <w:rsid w:val="155C59B1"/>
    <w:rsid w:val="15AA689B"/>
    <w:rsid w:val="15AF76C6"/>
    <w:rsid w:val="15EE7D7F"/>
    <w:rsid w:val="1648769E"/>
    <w:rsid w:val="167B0653"/>
    <w:rsid w:val="167B1C81"/>
    <w:rsid w:val="16AA5FCF"/>
    <w:rsid w:val="16BA2E55"/>
    <w:rsid w:val="16BD576D"/>
    <w:rsid w:val="172F3552"/>
    <w:rsid w:val="17A745D4"/>
    <w:rsid w:val="17EB1C92"/>
    <w:rsid w:val="17F276D6"/>
    <w:rsid w:val="18261FA2"/>
    <w:rsid w:val="183C7C0A"/>
    <w:rsid w:val="18932487"/>
    <w:rsid w:val="18A06DAC"/>
    <w:rsid w:val="18BC1320"/>
    <w:rsid w:val="18C50621"/>
    <w:rsid w:val="197607B7"/>
    <w:rsid w:val="19763FD2"/>
    <w:rsid w:val="19F85331"/>
    <w:rsid w:val="1A04116B"/>
    <w:rsid w:val="1A104EE9"/>
    <w:rsid w:val="1A3F5356"/>
    <w:rsid w:val="1A43165C"/>
    <w:rsid w:val="1A806FCB"/>
    <w:rsid w:val="1A837DC5"/>
    <w:rsid w:val="1A91015F"/>
    <w:rsid w:val="1AAB63FB"/>
    <w:rsid w:val="1AE26877"/>
    <w:rsid w:val="1AF504ED"/>
    <w:rsid w:val="1B014DDE"/>
    <w:rsid w:val="1B466D6D"/>
    <w:rsid w:val="1B7C5B41"/>
    <w:rsid w:val="1C230CCB"/>
    <w:rsid w:val="1C443141"/>
    <w:rsid w:val="1C5533E1"/>
    <w:rsid w:val="1C87292F"/>
    <w:rsid w:val="1CA67A07"/>
    <w:rsid w:val="1CAF623E"/>
    <w:rsid w:val="1CC05255"/>
    <w:rsid w:val="1CFD391F"/>
    <w:rsid w:val="1D0D3BB9"/>
    <w:rsid w:val="1D1B764B"/>
    <w:rsid w:val="1D2B0CB9"/>
    <w:rsid w:val="1D2C6B0C"/>
    <w:rsid w:val="1D2F0C8A"/>
    <w:rsid w:val="1D69418F"/>
    <w:rsid w:val="1D8764EA"/>
    <w:rsid w:val="1E1F43C1"/>
    <w:rsid w:val="1E277433"/>
    <w:rsid w:val="1E3D0A28"/>
    <w:rsid w:val="1E411E94"/>
    <w:rsid w:val="1E750486"/>
    <w:rsid w:val="1EA60457"/>
    <w:rsid w:val="1EB71E4A"/>
    <w:rsid w:val="1EE56A9D"/>
    <w:rsid w:val="1EEB78C7"/>
    <w:rsid w:val="1F031812"/>
    <w:rsid w:val="1F2D35E8"/>
    <w:rsid w:val="1F751AB6"/>
    <w:rsid w:val="1FAF1996"/>
    <w:rsid w:val="206D21E8"/>
    <w:rsid w:val="20BE7BBA"/>
    <w:rsid w:val="20D067E3"/>
    <w:rsid w:val="210A78C1"/>
    <w:rsid w:val="21246635"/>
    <w:rsid w:val="22116879"/>
    <w:rsid w:val="225B1DE9"/>
    <w:rsid w:val="22A247F8"/>
    <w:rsid w:val="22A650E4"/>
    <w:rsid w:val="238B6A9E"/>
    <w:rsid w:val="23AA6433"/>
    <w:rsid w:val="24043910"/>
    <w:rsid w:val="24240ADE"/>
    <w:rsid w:val="24313B92"/>
    <w:rsid w:val="24535D8A"/>
    <w:rsid w:val="24A95647"/>
    <w:rsid w:val="25774A33"/>
    <w:rsid w:val="2580193D"/>
    <w:rsid w:val="2584661F"/>
    <w:rsid w:val="25DA6BB7"/>
    <w:rsid w:val="25DC3159"/>
    <w:rsid w:val="26052A94"/>
    <w:rsid w:val="26106503"/>
    <w:rsid w:val="2653066B"/>
    <w:rsid w:val="26AB03BB"/>
    <w:rsid w:val="26B14C8A"/>
    <w:rsid w:val="26F63B7F"/>
    <w:rsid w:val="27341244"/>
    <w:rsid w:val="27621C26"/>
    <w:rsid w:val="27980F70"/>
    <w:rsid w:val="279D2512"/>
    <w:rsid w:val="27A85459"/>
    <w:rsid w:val="27F4659B"/>
    <w:rsid w:val="27FD20A3"/>
    <w:rsid w:val="28191512"/>
    <w:rsid w:val="282B0E9D"/>
    <w:rsid w:val="28640508"/>
    <w:rsid w:val="28F62CDF"/>
    <w:rsid w:val="293C106B"/>
    <w:rsid w:val="29E02C71"/>
    <w:rsid w:val="29E77B0B"/>
    <w:rsid w:val="2A0823CA"/>
    <w:rsid w:val="2A1B46AB"/>
    <w:rsid w:val="2A5B039D"/>
    <w:rsid w:val="2AEA65F8"/>
    <w:rsid w:val="2B302217"/>
    <w:rsid w:val="2B54556F"/>
    <w:rsid w:val="2B773A14"/>
    <w:rsid w:val="2BBF54F1"/>
    <w:rsid w:val="2BCF6A4C"/>
    <w:rsid w:val="2BE345F8"/>
    <w:rsid w:val="2BEB596A"/>
    <w:rsid w:val="2C0D1873"/>
    <w:rsid w:val="2C364194"/>
    <w:rsid w:val="2C3A7968"/>
    <w:rsid w:val="2C571F5C"/>
    <w:rsid w:val="2D1F1823"/>
    <w:rsid w:val="2D4358A3"/>
    <w:rsid w:val="2DA36269"/>
    <w:rsid w:val="2DAB30F9"/>
    <w:rsid w:val="2DAD387D"/>
    <w:rsid w:val="2DB46A8B"/>
    <w:rsid w:val="2DC50689"/>
    <w:rsid w:val="2DCE28FF"/>
    <w:rsid w:val="2DCF2121"/>
    <w:rsid w:val="2DE61EC7"/>
    <w:rsid w:val="2E2F15CE"/>
    <w:rsid w:val="2E475FFA"/>
    <w:rsid w:val="2EDB2DC4"/>
    <w:rsid w:val="2EF9347D"/>
    <w:rsid w:val="2F1161E8"/>
    <w:rsid w:val="2F7756F5"/>
    <w:rsid w:val="2FC751F2"/>
    <w:rsid w:val="301B4063"/>
    <w:rsid w:val="305A0520"/>
    <w:rsid w:val="305F5F81"/>
    <w:rsid w:val="30A3400A"/>
    <w:rsid w:val="30C93419"/>
    <w:rsid w:val="3106718F"/>
    <w:rsid w:val="310D526E"/>
    <w:rsid w:val="312C39CB"/>
    <w:rsid w:val="3140072A"/>
    <w:rsid w:val="31607C0D"/>
    <w:rsid w:val="316D55F0"/>
    <w:rsid w:val="31911355"/>
    <w:rsid w:val="32350ECE"/>
    <w:rsid w:val="324B6FD4"/>
    <w:rsid w:val="32672FA7"/>
    <w:rsid w:val="32765558"/>
    <w:rsid w:val="328B2335"/>
    <w:rsid w:val="328F7640"/>
    <w:rsid w:val="32BF4B25"/>
    <w:rsid w:val="33165D4A"/>
    <w:rsid w:val="33193EFE"/>
    <w:rsid w:val="331F18BE"/>
    <w:rsid w:val="334A1A42"/>
    <w:rsid w:val="33AB47C9"/>
    <w:rsid w:val="3401194C"/>
    <w:rsid w:val="340C3BA1"/>
    <w:rsid w:val="341E419D"/>
    <w:rsid w:val="342411C6"/>
    <w:rsid w:val="343334C9"/>
    <w:rsid w:val="34635982"/>
    <w:rsid w:val="347A0A28"/>
    <w:rsid w:val="34C865A9"/>
    <w:rsid w:val="34F65DF3"/>
    <w:rsid w:val="34F67486"/>
    <w:rsid w:val="35075BEC"/>
    <w:rsid w:val="359955FD"/>
    <w:rsid w:val="364A0105"/>
    <w:rsid w:val="36A46777"/>
    <w:rsid w:val="36AE4E26"/>
    <w:rsid w:val="37440448"/>
    <w:rsid w:val="37661E62"/>
    <w:rsid w:val="379D5CB9"/>
    <w:rsid w:val="37A035FE"/>
    <w:rsid w:val="37F30C18"/>
    <w:rsid w:val="37F62688"/>
    <w:rsid w:val="381E5D57"/>
    <w:rsid w:val="38296BB0"/>
    <w:rsid w:val="38701C5D"/>
    <w:rsid w:val="38C14F37"/>
    <w:rsid w:val="39091AA1"/>
    <w:rsid w:val="391B4EAD"/>
    <w:rsid w:val="39202688"/>
    <w:rsid w:val="39591947"/>
    <w:rsid w:val="396401AD"/>
    <w:rsid w:val="39A551A2"/>
    <w:rsid w:val="3A1B38B4"/>
    <w:rsid w:val="3A1F1BA2"/>
    <w:rsid w:val="3A2E63D8"/>
    <w:rsid w:val="3A3A0528"/>
    <w:rsid w:val="3AFB1ED1"/>
    <w:rsid w:val="3B536291"/>
    <w:rsid w:val="3B5F763B"/>
    <w:rsid w:val="3B676E4C"/>
    <w:rsid w:val="3B6B49D3"/>
    <w:rsid w:val="3B6D2FE0"/>
    <w:rsid w:val="3B763BAC"/>
    <w:rsid w:val="3B8C54D5"/>
    <w:rsid w:val="3BA742B4"/>
    <w:rsid w:val="3BAD291C"/>
    <w:rsid w:val="3C1330DE"/>
    <w:rsid w:val="3C242EFD"/>
    <w:rsid w:val="3C345451"/>
    <w:rsid w:val="3C5867CC"/>
    <w:rsid w:val="3D581D30"/>
    <w:rsid w:val="3D751F4F"/>
    <w:rsid w:val="3DC53D63"/>
    <w:rsid w:val="3DD34EFD"/>
    <w:rsid w:val="3E08457C"/>
    <w:rsid w:val="3E0B2FD3"/>
    <w:rsid w:val="3E2F3828"/>
    <w:rsid w:val="3E2F7EDA"/>
    <w:rsid w:val="3EA309A8"/>
    <w:rsid w:val="3EB35303"/>
    <w:rsid w:val="3F7A293F"/>
    <w:rsid w:val="3FAC772F"/>
    <w:rsid w:val="3FB66131"/>
    <w:rsid w:val="3FC14728"/>
    <w:rsid w:val="3FC96FE3"/>
    <w:rsid w:val="401F09B1"/>
    <w:rsid w:val="402336ED"/>
    <w:rsid w:val="40343364"/>
    <w:rsid w:val="404C59FC"/>
    <w:rsid w:val="405A5692"/>
    <w:rsid w:val="40650BA0"/>
    <w:rsid w:val="4066044D"/>
    <w:rsid w:val="40994A97"/>
    <w:rsid w:val="41566D3D"/>
    <w:rsid w:val="415D4149"/>
    <w:rsid w:val="415D54EF"/>
    <w:rsid w:val="41970A1B"/>
    <w:rsid w:val="41B75ADD"/>
    <w:rsid w:val="41C27780"/>
    <w:rsid w:val="41C95F61"/>
    <w:rsid w:val="41E44C16"/>
    <w:rsid w:val="42161379"/>
    <w:rsid w:val="42515CDB"/>
    <w:rsid w:val="42C76941"/>
    <w:rsid w:val="42F81F96"/>
    <w:rsid w:val="43287B9B"/>
    <w:rsid w:val="43691DB8"/>
    <w:rsid w:val="43AD1D66"/>
    <w:rsid w:val="44615BD7"/>
    <w:rsid w:val="44C0516D"/>
    <w:rsid w:val="452C7CF4"/>
    <w:rsid w:val="45632870"/>
    <w:rsid w:val="456674E7"/>
    <w:rsid w:val="45711797"/>
    <w:rsid w:val="45A87000"/>
    <w:rsid w:val="45E00F3F"/>
    <w:rsid w:val="46A219D0"/>
    <w:rsid w:val="46D425E6"/>
    <w:rsid w:val="46E460A8"/>
    <w:rsid w:val="46EE7B7B"/>
    <w:rsid w:val="46F43987"/>
    <w:rsid w:val="46F534FF"/>
    <w:rsid w:val="47155A95"/>
    <w:rsid w:val="47310C64"/>
    <w:rsid w:val="473125C6"/>
    <w:rsid w:val="476A23E7"/>
    <w:rsid w:val="47740341"/>
    <w:rsid w:val="47FC1EC6"/>
    <w:rsid w:val="482B3DE5"/>
    <w:rsid w:val="486063A4"/>
    <w:rsid w:val="48D1392C"/>
    <w:rsid w:val="490850C6"/>
    <w:rsid w:val="491A0BFD"/>
    <w:rsid w:val="4924150C"/>
    <w:rsid w:val="49481F01"/>
    <w:rsid w:val="49536AAE"/>
    <w:rsid w:val="49620FF1"/>
    <w:rsid w:val="499A5AF3"/>
    <w:rsid w:val="49AB26EA"/>
    <w:rsid w:val="49BF334F"/>
    <w:rsid w:val="49FB7F76"/>
    <w:rsid w:val="4A396AA0"/>
    <w:rsid w:val="4A3B0ADD"/>
    <w:rsid w:val="4A6D602B"/>
    <w:rsid w:val="4A751131"/>
    <w:rsid w:val="4A77109D"/>
    <w:rsid w:val="4AA874FE"/>
    <w:rsid w:val="4AF025F5"/>
    <w:rsid w:val="4B2D0BA2"/>
    <w:rsid w:val="4B380F77"/>
    <w:rsid w:val="4B412CA3"/>
    <w:rsid w:val="4B423DC9"/>
    <w:rsid w:val="4B773D97"/>
    <w:rsid w:val="4B9B1EA6"/>
    <w:rsid w:val="4C4930C2"/>
    <w:rsid w:val="4CF815BB"/>
    <w:rsid w:val="4D102545"/>
    <w:rsid w:val="4D1F5818"/>
    <w:rsid w:val="4D41180C"/>
    <w:rsid w:val="4D7C11FD"/>
    <w:rsid w:val="4DEE1731"/>
    <w:rsid w:val="4E3212BE"/>
    <w:rsid w:val="4E591033"/>
    <w:rsid w:val="4E690B0A"/>
    <w:rsid w:val="4EEF0F9E"/>
    <w:rsid w:val="4EFF34F9"/>
    <w:rsid w:val="4F490ACC"/>
    <w:rsid w:val="4F735D0F"/>
    <w:rsid w:val="4F9A4B59"/>
    <w:rsid w:val="4FBE4B9F"/>
    <w:rsid w:val="4FE30FE2"/>
    <w:rsid w:val="4FE45CBB"/>
    <w:rsid w:val="50377A11"/>
    <w:rsid w:val="504D5761"/>
    <w:rsid w:val="506157B2"/>
    <w:rsid w:val="508325C7"/>
    <w:rsid w:val="508C6C5C"/>
    <w:rsid w:val="50D024A2"/>
    <w:rsid w:val="510D3B2C"/>
    <w:rsid w:val="511E0191"/>
    <w:rsid w:val="513534CB"/>
    <w:rsid w:val="517417BE"/>
    <w:rsid w:val="52107AD6"/>
    <w:rsid w:val="528E516C"/>
    <w:rsid w:val="52AC3410"/>
    <w:rsid w:val="52C21919"/>
    <w:rsid w:val="52E87329"/>
    <w:rsid w:val="52EB47AC"/>
    <w:rsid w:val="52F5184E"/>
    <w:rsid w:val="53364538"/>
    <w:rsid w:val="53366494"/>
    <w:rsid w:val="533E63B8"/>
    <w:rsid w:val="53BB4D7A"/>
    <w:rsid w:val="53C16A7E"/>
    <w:rsid w:val="53C27D6A"/>
    <w:rsid w:val="547F088F"/>
    <w:rsid w:val="552971B1"/>
    <w:rsid w:val="55612B80"/>
    <w:rsid w:val="55727FBD"/>
    <w:rsid w:val="558F536E"/>
    <w:rsid w:val="559248FD"/>
    <w:rsid w:val="55A174D3"/>
    <w:rsid w:val="55DD215E"/>
    <w:rsid w:val="55FC469E"/>
    <w:rsid w:val="561B0AE7"/>
    <w:rsid w:val="56395D0A"/>
    <w:rsid w:val="567070BA"/>
    <w:rsid w:val="56D27416"/>
    <w:rsid w:val="571465E1"/>
    <w:rsid w:val="57211DFB"/>
    <w:rsid w:val="572E1597"/>
    <w:rsid w:val="573B65CC"/>
    <w:rsid w:val="57415A8E"/>
    <w:rsid w:val="57967CC2"/>
    <w:rsid w:val="583456F9"/>
    <w:rsid w:val="58384779"/>
    <w:rsid w:val="58853B4B"/>
    <w:rsid w:val="58C12D1E"/>
    <w:rsid w:val="58D7284D"/>
    <w:rsid w:val="590F47D3"/>
    <w:rsid w:val="591A3AF3"/>
    <w:rsid w:val="59794B79"/>
    <w:rsid w:val="59BD150F"/>
    <w:rsid w:val="59D7388B"/>
    <w:rsid w:val="5A296BE8"/>
    <w:rsid w:val="5A2E70EC"/>
    <w:rsid w:val="5A380236"/>
    <w:rsid w:val="5A451B2A"/>
    <w:rsid w:val="5A5676CA"/>
    <w:rsid w:val="5A7C70BC"/>
    <w:rsid w:val="5AC07D81"/>
    <w:rsid w:val="5AD1390C"/>
    <w:rsid w:val="5BC539BD"/>
    <w:rsid w:val="5C204F63"/>
    <w:rsid w:val="5C3D06D8"/>
    <w:rsid w:val="5C5D3B6B"/>
    <w:rsid w:val="5C7929C3"/>
    <w:rsid w:val="5CB6293A"/>
    <w:rsid w:val="5CDA6B04"/>
    <w:rsid w:val="5D296873"/>
    <w:rsid w:val="5D793204"/>
    <w:rsid w:val="5D827747"/>
    <w:rsid w:val="5DB058EC"/>
    <w:rsid w:val="5DB767B7"/>
    <w:rsid w:val="5DD064CE"/>
    <w:rsid w:val="5E0733FD"/>
    <w:rsid w:val="5E0A1E55"/>
    <w:rsid w:val="5E325C1C"/>
    <w:rsid w:val="5EAC2A97"/>
    <w:rsid w:val="5EDF725F"/>
    <w:rsid w:val="5EF03261"/>
    <w:rsid w:val="5F1D3C4E"/>
    <w:rsid w:val="5F284C79"/>
    <w:rsid w:val="5F3F1868"/>
    <w:rsid w:val="60526897"/>
    <w:rsid w:val="60753486"/>
    <w:rsid w:val="60780575"/>
    <w:rsid w:val="60A725CB"/>
    <w:rsid w:val="611E13CF"/>
    <w:rsid w:val="618715D4"/>
    <w:rsid w:val="61877FFB"/>
    <w:rsid w:val="61A02B7D"/>
    <w:rsid w:val="61C267B4"/>
    <w:rsid w:val="62051790"/>
    <w:rsid w:val="62736305"/>
    <w:rsid w:val="63390858"/>
    <w:rsid w:val="6348417D"/>
    <w:rsid w:val="63E92F01"/>
    <w:rsid w:val="64070E78"/>
    <w:rsid w:val="646C4BB4"/>
    <w:rsid w:val="649D4810"/>
    <w:rsid w:val="65CE15D2"/>
    <w:rsid w:val="65DA2837"/>
    <w:rsid w:val="6629509B"/>
    <w:rsid w:val="66342AB4"/>
    <w:rsid w:val="668E775B"/>
    <w:rsid w:val="672755CB"/>
    <w:rsid w:val="672D4F56"/>
    <w:rsid w:val="672E19F4"/>
    <w:rsid w:val="67BF7C65"/>
    <w:rsid w:val="680E4244"/>
    <w:rsid w:val="687A30D0"/>
    <w:rsid w:val="68876AF0"/>
    <w:rsid w:val="688D3786"/>
    <w:rsid w:val="68903129"/>
    <w:rsid w:val="68AB4EBA"/>
    <w:rsid w:val="68C42A6D"/>
    <w:rsid w:val="68E82B1D"/>
    <w:rsid w:val="68F123F5"/>
    <w:rsid w:val="690E2D59"/>
    <w:rsid w:val="69960847"/>
    <w:rsid w:val="6A025978"/>
    <w:rsid w:val="6A2636DB"/>
    <w:rsid w:val="6A5512C4"/>
    <w:rsid w:val="6ABD66AF"/>
    <w:rsid w:val="6AE158C1"/>
    <w:rsid w:val="6B3F4A9A"/>
    <w:rsid w:val="6B5274EB"/>
    <w:rsid w:val="6C465D6E"/>
    <w:rsid w:val="6C631C5F"/>
    <w:rsid w:val="6C6F5A72"/>
    <w:rsid w:val="6C845ECA"/>
    <w:rsid w:val="6CAA3164"/>
    <w:rsid w:val="6CF25B7E"/>
    <w:rsid w:val="6CF546C4"/>
    <w:rsid w:val="6D054A6B"/>
    <w:rsid w:val="6D3068C0"/>
    <w:rsid w:val="6D625405"/>
    <w:rsid w:val="6D641948"/>
    <w:rsid w:val="6D98205C"/>
    <w:rsid w:val="6DCC7B84"/>
    <w:rsid w:val="6DFB268E"/>
    <w:rsid w:val="6E802433"/>
    <w:rsid w:val="6EF4015A"/>
    <w:rsid w:val="6F1C04A4"/>
    <w:rsid w:val="6F231FFA"/>
    <w:rsid w:val="6F463423"/>
    <w:rsid w:val="6F5013AD"/>
    <w:rsid w:val="6F6F04AA"/>
    <w:rsid w:val="6F9B1637"/>
    <w:rsid w:val="6FB52102"/>
    <w:rsid w:val="6FE807A1"/>
    <w:rsid w:val="6FEB360D"/>
    <w:rsid w:val="6FF31306"/>
    <w:rsid w:val="700A3B58"/>
    <w:rsid w:val="703B6A03"/>
    <w:rsid w:val="70792A99"/>
    <w:rsid w:val="716839D7"/>
    <w:rsid w:val="716F32D8"/>
    <w:rsid w:val="71A7498B"/>
    <w:rsid w:val="721F6CB8"/>
    <w:rsid w:val="722F2E5A"/>
    <w:rsid w:val="72931163"/>
    <w:rsid w:val="732B70FF"/>
    <w:rsid w:val="73795812"/>
    <w:rsid w:val="73CE0DC2"/>
    <w:rsid w:val="742835D1"/>
    <w:rsid w:val="74283D35"/>
    <w:rsid w:val="742C1926"/>
    <w:rsid w:val="74780394"/>
    <w:rsid w:val="74B53C1E"/>
    <w:rsid w:val="74C153A8"/>
    <w:rsid w:val="75062260"/>
    <w:rsid w:val="75217B99"/>
    <w:rsid w:val="75311DD3"/>
    <w:rsid w:val="75FA0FBA"/>
    <w:rsid w:val="76095A09"/>
    <w:rsid w:val="764D12A6"/>
    <w:rsid w:val="76691877"/>
    <w:rsid w:val="773B56E9"/>
    <w:rsid w:val="77956BB0"/>
    <w:rsid w:val="77E1549F"/>
    <w:rsid w:val="78070277"/>
    <w:rsid w:val="781828C8"/>
    <w:rsid w:val="78524E73"/>
    <w:rsid w:val="78631C54"/>
    <w:rsid w:val="78BF7A25"/>
    <w:rsid w:val="78D750CC"/>
    <w:rsid w:val="78DC0D58"/>
    <w:rsid w:val="78FE067C"/>
    <w:rsid w:val="793131C9"/>
    <w:rsid w:val="795E2161"/>
    <w:rsid w:val="796338FB"/>
    <w:rsid w:val="798305CA"/>
    <w:rsid w:val="79A31DF9"/>
    <w:rsid w:val="79E229D1"/>
    <w:rsid w:val="79F905CC"/>
    <w:rsid w:val="7A017138"/>
    <w:rsid w:val="7A034839"/>
    <w:rsid w:val="7A1A06DA"/>
    <w:rsid w:val="7A727298"/>
    <w:rsid w:val="7A8765FE"/>
    <w:rsid w:val="7A8B3DBD"/>
    <w:rsid w:val="7ABE2D6E"/>
    <w:rsid w:val="7ADD176C"/>
    <w:rsid w:val="7AE03768"/>
    <w:rsid w:val="7B174702"/>
    <w:rsid w:val="7B3C243F"/>
    <w:rsid w:val="7B7711EE"/>
    <w:rsid w:val="7BFD746F"/>
    <w:rsid w:val="7BFF5082"/>
    <w:rsid w:val="7C2E7398"/>
    <w:rsid w:val="7C560A20"/>
    <w:rsid w:val="7C597E14"/>
    <w:rsid w:val="7D585220"/>
    <w:rsid w:val="7DB46D9D"/>
    <w:rsid w:val="7DC7048F"/>
    <w:rsid w:val="7E0B44DC"/>
    <w:rsid w:val="7E1047A1"/>
    <w:rsid w:val="7E7D3736"/>
    <w:rsid w:val="7EC6407D"/>
    <w:rsid w:val="7EEA79B5"/>
    <w:rsid w:val="7F9F6AC5"/>
    <w:rsid w:val="7FA93CD4"/>
    <w:rsid w:val="7FB501E1"/>
    <w:rsid w:val="7FB9221D"/>
    <w:rsid w:val="7FFF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cs="宋体"/>
      <w:sz w:val="28"/>
      <w:szCs w:val="28"/>
    </w:rPr>
  </w:style>
  <w:style w:type="paragraph" w:styleId="4">
    <w:name w:val="annotation text"/>
    <w:basedOn w:val="1"/>
    <w:link w:val="15"/>
    <w:unhideWhenUsed/>
    <w:qFormat/>
    <w:uiPriority w:val="99"/>
    <w:pPr>
      <w:jc w:val="left"/>
    </w:pPr>
  </w:style>
  <w:style w:type="paragraph" w:styleId="5">
    <w:name w:val="Balloon Text"/>
    <w:basedOn w:val="1"/>
    <w:link w:val="18"/>
    <w:unhideWhenUsed/>
    <w:qFormat/>
    <w:uiPriority w:val="99"/>
    <w:rPr>
      <w:rFonts w:eastAsia="宋体"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annotation subject"/>
    <w:basedOn w:val="4"/>
    <w:next w:val="4"/>
    <w:link w:val="16"/>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Heading2"/>
    <w:basedOn w:val="1"/>
    <w:next w:val="1"/>
    <w:qFormat/>
    <w:uiPriority w:val="0"/>
    <w:pPr>
      <w:keepNext/>
      <w:keepLines/>
      <w:spacing w:line="413" w:lineRule="auto"/>
      <w:jc w:val="both"/>
      <w:textAlignment w:val="baseline"/>
    </w:pPr>
    <w:rPr>
      <w:rFonts w:ascii="Arial" w:hAnsi="Arial" w:eastAsia="黑体"/>
      <w:b/>
      <w:kern w:val="2"/>
      <w:sz w:val="32"/>
      <w:szCs w:val="30"/>
      <w:lang w:val="en-US" w:eastAsia="zh-CN" w:bidi="ar-SA"/>
    </w:r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character" w:customStyle="1" w:styleId="15">
    <w:name w:val="批注文字 字符"/>
    <w:basedOn w:val="11"/>
    <w:link w:val="4"/>
    <w:qFormat/>
    <w:uiPriority w:val="0"/>
    <w:rPr>
      <w:rFonts w:ascii="Calibri" w:hAnsi="Calibri"/>
      <w:kern w:val="2"/>
      <w:sz w:val="21"/>
      <w:szCs w:val="24"/>
    </w:rPr>
  </w:style>
  <w:style w:type="character" w:customStyle="1" w:styleId="16">
    <w:name w:val="批注主题 字符"/>
    <w:basedOn w:val="15"/>
    <w:link w:val="9"/>
    <w:qFormat/>
    <w:uiPriority w:val="0"/>
    <w:rPr>
      <w:rFonts w:ascii="Calibri" w:hAnsi="Calibri"/>
      <w:b/>
      <w:bCs/>
      <w:kern w:val="2"/>
      <w:sz w:val="21"/>
      <w:szCs w:val="24"/>
    </w:rPr>
  </w:style>
  <w:style w:type="paragraph" w:customStyle="1" w:styleId="17">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paragraph" w:customStyle="1" w:styleId="19">
    <w:name w:val="正文文本缩进1"/>
    <w:basedOn w:val="1"/>
    <w:qFormat/>
    <w:uiPriority w:val="0"/>
    <w:pPr>
      <w:widowControl w:val="0"/>
      <w:adjustRightInd/>
      <w:snapToGrid/>
      <w:spacing w:after="0" w:afterLines="0" w:line="360" w:lineRule="auto"/>
      <w:ind w:firstLine="549" w:firstLineChars="200"/>
      <w:jc w:val="both"/>
    </w:pPr>
    <w:rPr>
      <w:rFonts w:eastAsia="宋体" w:cs="Times New Roman"/>
      <w:sz w:val="28"/>
      <w:szCs w:val="24"/>
    </w:rPr>
  </w:style>
  <w:style w:type="paragraph" w:customStyle="1" w:styleId="20">
    <w:name w:val="Body text|1"/>
    <w:basedOn w:val="1"/>
    <w:qFormat/>
    <w:uiPriority w:val="0"/>
    <w:pPr>
      <w:spacing w:line="406"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云南省交通运输厅</Company>
  <Pages>25</Pages>
  <Words>9669</Words>
  <Characters>10785</Characters>
  <Lines>43</Lines>
  <Paragraphs>12</Paragraphs>
  <TotalTime>10</TotalTime>
  <ScaleCrop>false</ScaleCrop>
  <LinksUpToDate>false</LinksUpToDate>
  <CharactersWithSpaces>10877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2023-12-06T17:21:00Z</dcterms:created>
  <dc:creator>Administrator</dc:creator>
  <cp:lastModifiedBy>Administrator</cp:lastModifiedBy>
  <cp:lastPrinted>2024-11-13T01:25:00Z</cp:lastPrinted>
  <dcterms:modified xsi:type="dcterms:W3CDTF">2025-05-29T07:48:14Z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11D6473978B14F20BBDB1A1FE3D4FEF5</vt:lpwstr>
  </property>
  <property fmtid="{D5CDD505-2E9C-101B-9397-08002B2CF9AE}" pid="4" name="KSOTemplateDocerSaveRecord">
    <vt:lpwstr>eyJoZGlkIjoiMjg4ZTQ5MThiNDMzY2RjZWVjYjM2MGE0YzRjMDRhY2MiLCJ1c2VySWQiOiIxMTk3ODYzMzc1In0=</vt:lpwstr>
  </property>
</Properties>
</file>