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w:t>
      </w:r>
      <w:r>
        <w:rPr>
          <w:rFonts w:hint="eastAsia" w:ascii="宋体" w:hAnsi="宋体" w:eastAsia="宋体" w:cs="宋体"/>
          <w:sz w:val="28"/>
          <w:szCs w:val="28"/>
          <w:lang w:val="en-US" w:eastAsia="zh-CN"/>
        </w:rPr>
        <w:t>4</w:t>
      </w:r>
      <w:r>
        <w:rPr>
          <w:rFonts w:hint="eastAsia" w:ascii="方正黑体_GBK" w:hAnsi="方正黑体_GBK" w:eastAsia="方正黑体_GBK" w:cs="方正黑体_GBK"/>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云南省交通运输行政执法裁量权基准（草案）起草说明</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sz w:val="32"/>
          <w:lang w:val="en-US" w:eastAsia="zh-CN"/>
        </w:rPr>
        <w:t>为规范实施云南省交通运输行政处罚、行政许可、行政确认等行政行为裁量权，保障公民、法人和其他组织的合法权益，</w:t>
      </w:r>
      <w:r>
        <w:rPr>
          <w:rFonts w:hint="eastAsia"/>
          <w:sz w:val="32"/>
          <w:szCs w:val="32"/>
          <w:lang w:val="en-US" w:eastAsia="zh-CN"/>
        </w:rPr>
        <w:t>云南省交通运输厅起草了《云南省交通运输行政处罚裁量权基准（草案）》《云南省交通运输行政许可裁量权基准（草案）》和《云南省交通运输行政确认裁量权基准（草案）》。现将有关事项说明如下：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一、起草的必要性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sz w:val="32"/>
          <w:lang w:val="en-US" w:eastAsia="zh-CN"/>
        </w:rPr>
      </w:pPr>
      <w:r>
        <w:rPr>
          <w:rFonts w:hint="eastAsia"/>
          <w:b/>
          <w:bCs/>
          <w:sz w:val="32"/>
          <w:szCs w:val="32"/>
          <w:lang w:val="en-US" w:eastAsia="zh-CN"/>
        </w:rPr>
        <w:t>一是建立健全行政裁量权制度的需要</w:t>
      </w:r>
      <w:bookmarkStart w:id="0" w:name="_GoBack"/>
      <w:bookmarkEnd w:id="0"/>
      <w:r>
        <w:rPr>
          <w:rFonts w:hint="eastAsia"/>
          <w:b/>
          <w:bCs/>
          <w:sz w:val="32"/>
          <w:szCs w:val="32"/>
          <w:lang w:val="en-US" w:eastAsia="zh-CN"/>
        </w:rPr>
        <w:t>。</w:t>
      </w:r>
      <w:r>
        <w:rPr>
          <w:rFonts w:hint="eastAsia"/>
          <w:sz w:val="32"/>
          <w:szCs w:val="32"/>
          <w:lang w:val="en-US" w:eastAsia="zh-CN"/>
        </w:rPr>
        <w:t>编制交通运输行政执法裁量权基准是法治政府建设在执法领域的具体表现，有利于</w:t>
      </w:r>
      <w:r>
        <w:rPr>
          <w:rFonts w:hint="eastAsia"/>
          <w:sz w:val="32"/>
          <w:lang w:val="en-US" w:eastAsia="zh-CN"/>
        </w:rPr>
        <w:t>规范行政行为</w:t>
      </w:r>
      <w:r>
        <w:rPr>
          <w:rFonts w:hint="default" w:ascii="宋体" w:hAnsi="宋体" w:eastAsia="方正仿宋_GBK"/>
          <w:sz w:val="32"/>
          <w:lang w:eastAsia="zh-CN"/>
        </w:rPr>
        <w:t>，</w:t>
      </w:r>
      <w:r>
        <w:rPr>
          <w:rFonts w:hint="eastAsia"/>
          <w:sz w:val="32"/>
          <w:lang w:val="en-US" w:eastAsia="zh-CN"/>
        </w:rPr>
        <w:t>扎实推进依法行政。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sz w:val="32"/>
          <w:lang w:val="en-US" w:eastAsia="zh-CN"/>
        </w:rPr>
      </w:pPr>
      <w:r>
        <w:rPr>
          <w:rFonts w:hint="eastAsia"/>
          <w:b/>
          <w:bCs/>
          <w:sz w:val="32"/>
          <w:lang w:val="en-US" w:eastAsia="zh-CN"/>
        </w:rPr>
        <w:t>二是保障法律、法规、规章有效实施的需要。</w:t>
      </w:r>
      <w:r>
        <w:rPr>
          <w:rFonts w:hint="eastAsia"/>
          <w:sz w:val="32"/>
          <w:lang w:val="en-US" w:eastAsia="zh-CN"/>
        </w:rPr>
        <w:t>法律的生命力在于实施，建立行政裁量权基准制度，有利于统一行政执法标准，避免行政执法中出现该严不严、该宽不宽、畸轻畸重、类案不同罚等现象，维护社会公平正义。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sz w:val="32"/>
          <w:lang w:val="en-US" w:eastAsia="zh-CN"/>
        </w:rPr>
      </w:pPr>
      <w:r>
        <w:rPr>
          <w:rFonts w:hint="eastAsia"/>
          <w:b/>
          <w:bCs/>
          <w:sz w:val="32"/>
          <w:lang w:val="en-US" w:eastAsia="zh-CN"/>
        </w:rPr>
        <w:t>三是切实维护公平竞争市场秩序的需要。</w:t>
      </w:r>
      <w:r>
        <w:rPr>
          <w:rFonts w:hint="eastAsia"/>
          <w:sz w:val="32"/>
          <w:lang w:val="en-US" w:eastAsia="zh-CN"/>
        </w:rPr>
        <w:t>建立行政裁量权基准制度，有利于发挥法治固根本、稳预期、利长远的作用，稳定市场主体预期，建立良法善治的法治化营商环境。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sz w:val="32"/>
          <w:lang w:val="en-US" w:eastAsia="zh-CN"/>
        </w:rPr>
      </w:pPr>
      <w:r>
        <w:rPr>
          <w:rFonts w:hint="eastAsia"/>
          <w:sz w:val="32"/>
          <w:lang w:val="en-US" w:eastAsia="zh-CN"/>
        </w:rPr>
        <w:t>根据《中华人民共和国行政处罚法》《中华人民共和国行政许可法》《中华人民共和国公路法》《中华人民共和国航道法》《中华人民共和国安全生产法》等法律法规的规定，按照《国务院办公厅关于进一步规范行政裁量权基准制定和管理公国的意见》（</w:t>
      </w:r>
      <w:r>
        <w:rPr>
          <w:rFonts w:hint="eastAsia" w:ascii="方正仿宋_GBK"/>
          <w:sz w:val="32"/>
          <w:szCs w:val="32"/>
          <w:lang w:val="en-US" w:eastAsia="zh-CN"/>
        </w:rPr>
        <w:t>国办发</w:t>
      </w:r>
      <w:r>
        <w:rPr>
          <w:rFonts w:hint="eastAsia" w:ascii="方正仿宋_GBK" w:eastAsia="方正仿宋_GBK"/>
          <w:sz w:val="32"/>
          <w:szCs w:val="32"/>
        </w:rPr>
        <w:t>〔</w:t>
      </w:r>
      <w:r>
        <w:rPr>
          <w:rFonts w:hint="eastAsia" w:ascii="宋体" w:hAnsi="宋体" w:eastAsia="宋体" w:cs="宋体"/>
          <w:sz w:val="32"/>
          <w:szCs w:val="32"/>
          <w:lang w:val="en"/>
        </w:rPr>
        <w:t>2022</w:t>
      </w:r>
      <w:r>
        <w:rPr>
          <w:rFonts w:hint="eastAsia" w:ascii="方正仿宋_GBK" w:eastAsia="方正仿宋_GBK"/>
          <w:sz w:val="32"/>
          <w:szCs w:val="32"/>
        </w:rPr>
        <w:t>〕</w:t>
      </w:r>
      <w:r>
        <w:rPr>
          <w:rFonts w:hint="eastAsia" w:eastAsia="宋体" w:cs="宋体"/>
          <w:sz w:val="32"/>
          <w:szCs w:val="32"/>
          <w:lang w:val="en-US" w:eastAsia="zh-CN"/>
        </w:rPr>
        <w:t>27</w:t>
      </w:r>
      <w:r>
        <w:rPr>
          <w:rFonts w:hint="eastAsia" w:eastAsia="方正仿宋_GBK"/>
          <w:sz w:val="32"/>
          <w:szCs w:val="32"/>
        </w:rPr>
        <w:t>号</w:t>
      </w:r>
      <w:r>
        <w:rPr>
          <w:rFonts w:hint="eastAsia"/>
          <w:sz w:val="32"/>
          <w:szCs w:val="32"/>
          <w:lang w:eastAsia="zh-CN"/>
        </w:rPr>
        <w:t>）</w:t>
      </w:r>
      <w:r>
        <w:rPr>
          <w:rFonts w:hint="eastAsia"/>
          <w:sz w:val="32"/>
          <w:szCs w:val="32"/>
          <w:lang w:val="en-US" w:eastAsia="zh-CN"/>
        </w:rPr>
        <w:t>和《云南省人民政府办公厅关于进一步规范行政裁量权基准制定和管理工作的实施意见》（</w:t>
      </w:r>
      <w:r>
        <w:rPr>
          <w:rFonts w:hint="eastAsia" w:ascii="方正仿宋_GBK"/>
          <w:sz w:val="32"/>
          <w:szCs w:val="32"/>
          <w:lang w:val="en-US" w:eastAsia="zh-CN"/>
        </w:rPr>
        <w:t>云政办发</w:t>
      </w:r>
      <w:r>
        <w:rPr>
          <w:rFonts w:hint="eastAsia" w:ascii="方正仿宋_GBK" w:eastAsia="方正仿宋_GBK"/>
          <w:sz w:val="32"/>
          <w:szCs w:val="32"/>
        </w:rPr>
        <w:t>〔</w:t>
      </w:r>
      <w:r>
        <w:rPr>
          <w:rFonts w:hint="eastAsia" w:ascii="宋体" w:hAnsi="宋体" w:eastAsia="宋体" w:cs="宋体"/>
          <w:sz w:val="32"/>
          <w:szCs w:val="32"/>
          <w:lang w:val="en"/>
        </w:rPr>
        <w:t>202</w:t>
      </w:r>
      <w:r>
        <w:rPr>
          <w:rFonts w:hint="eastAsia" w:eastAsia="宋体" w:cs="宋体"/>
          <w:sz w:val="32"/>
          <w:szCs w:val="32"/>
          <w:lang w:val="en-US" w:eastAsia="zh-CN"/>
        </w:rPr>
        <w:t>3</w:t>
      </w:r>
      <w:r>
        <w:rPr>
          <w:rFonts w:hint="eastAsia" w:ascii="方正仿宋_GBK" w:eastAsia="方正仿宋_GBK"/>
          <w:sz w:val="32"/>
          <w:szCs w:val="32"/>
        </w:rPr>
        <w:t>〕</w:t>
      </w:r>
      <w:r>
        <w:rPr>
          <w:rFonts w:hint="eastAsia" w:ascii="宋体" w:hAnsi="宋体" w:eastAsia="宋体" w:cs="宋体"/>
          <w:sz w:val="32"/>
          <w:szCs w:val="32"/>
          <w:lang w:val="en"/>
        </w:rPr>
        <w:t>1</w:t>
      </w:r>
      <w:r>
        <w:rPr>
          <w:rFonts w:hint="eastAsia" w:eastAsia="宋体" w:cs="宋体"/>
          <w:sz w:val="32"/>
          <w:szCs w:val="32"/>
          <w:lang w:val="en-US" w:eastAsia="zh-CN"/>
        </w:rPr>
        <w:t>1</w:t>
      </w:r>
      <w:r>
        <w:rPr>
          <w:rFonts w:hint="eastAsia" w:eastAsia="方正仿宋_GBK"/>
          <w:sz w:val="32"/>
          <w:szCs w:val="32"/>
        </w:rPr>
        <w:t>号</w:t>
      </w:r>
      <w:r>
        <w:rPr>
          <w:rFonts w:hint="eastAsia"/>
          <w:sz w:val="32"/>
          <w:szCs w:val="32"/>
          <w:lang w:eastAsia="zh-CN"/>
        </w:rPr>
        <w:t>）</w:t>
      </w:r>
      <w:r>
        <w:rPr>
          <w:rFonts w:hint="eastAsia"/>
          <w:sz w:val="32"/>
          <w:szCs w:val="32"/>
          <w:lang w:val="en-US" w:eastAsia="zh-CN"/>
        </w:rPr>
        <w:t>关于建立健全行政裁量权基准制度的有关要求起草本草案。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lang w:val="en-US" w:eastAsia="zh-CN"/>
        </w:rPr>
      </w:pPr>
      <w:r>
        <w:rPr>
          <w:rFonts w:hint="eastAsia"/>
          <w:sz w:val="32"/>
          <w:lang w:val="en-US" w:eastAsia="zh-CN"/>
        </w:rPr>
        <w:t>综合考虑近年来交通运输领域法律、法规、规章立改废情况，结合云南省经济社会发展水平和交通运输执法实际，此次起草的</w:t>
      </w:r>
      <w:r>
        <w:rPr>
          <w:rFonts w:hint="eastAsia"/>
          <w:sz w:val="32"/>
          <w:szCs w:val="32"/>
          <w:lang w:val="en-US" w:eastAsia="zh-CN"/>
        </w:rPr>
        <w:t>云南省</w:t>
      </w:r>
      <w:r>
        <w:rPr>
          <w:rFonts w:hint="eastAsia"/>
          <w:sz w:val="32"/>
          <w:lang w:val="en-US" w:eastAsia="zh-CN"/>
        </w:rPr>
        <w:t>交通运输行政执法裁量权基准主要对行政处罚、行政许可和行政确认三类行政执法行为进行裁量基准的划分。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（一）行政处罚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lang w:val="en-US" w:eastAsia="zh-CN"/>
        </w:rPr>
      </w:pPr>
      <w:r>
        <w:rPr>
          <w:rFonts w:hint="eastAsia"/>
          <w:sz w:val="32"/>
          <w:lang w:val="en-US" w:eastAsia="zh-CN"/>
        </w:rPr>
        <w:t>根据执法门类差异，对公路路政、道路运政、航道行政、港口行政、水路运政、公路水路工程建设质量监督、公路水路工程招投标管理、安全生产及其他共9个领域、462项违法行为的处罚裁量权基准进行了划分。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（二）行政许可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lang w:val="en-US" w:eastAsia="zh-CN"/>
        </w:rPr>
      </w:pPr>
      <w:r>
        <w:rPr>
          <w:rFonts w:hint="eastAsia"/>
          <w:sz w:val="32"/>
          <w:lang w:val="en-US" w:eastAsia="zh-CN"/>
        </w:rPr>
        <w:t>对省本级实施的112项行政许可事项的裁量权基准进行了划分。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（三）行政确认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lang w:val="en-US" w:eastAsia="zh-CN"/>
        </w:rPr>
      </w:pPr>
      <w:r>
        <w:rPr>
          <w:rFonts w:hint="eastAsia"/>
          <w:sz w:val="32"/>
          <w:lang w:val="en-US" w:eastAsia="zh-CN"/>
        </w:rPr>
        <w:t>对省本级实施的5项行政确认事项的裁量权基准进行了划分。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四、其他需要说明的情况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sz w:val="32"/>
          <w:lang w:val="en-US" w:eastAsia="zh-CN"/>
        </w:rPr>
      </w:pPr>
      <w:r>
        <w:rPr>
          <w:rFonts w:hint="eastAsia"/>
          <w:sz w:val="32"/>
          <w:lang w:val="en-US" w:eastAsia="zh-CN"/>
        </w:rPr>
        <w:t>在法律、法规、规章授权由交通运输行政主管部门实施的行政处罚事项中，此次起草的</w:t>
      </w:r>
      <w:r>
        <w:rPr>
          <w:rFonts w:hint="eastAsia"/>
          <w:sz w:val="32"/>
          <w:szCs w:val="32"/>
          <w:lang w:val="en-US" w:eastAsia="zh-CN"/>
        </w:rPr>
        <w:t>云南省</w:t>
      </w:r>
      <w:r>
        <w:rPr>
          <w:rFonts w:hint="eastAsia"/>
          <w:sz w:val="32"/>
          <w:lang w:val="en-US" w:eastAsia="zh-CN"/>
        </w:rPr>
        <w:t>交通运输行政执法裁量权基准未将“违反港口危险货物安全管理规定的行为（共42项）”纳入，主要原因是我省尚无危险货物港口、船舶及可以开展危险货物水路运输的航道；未将“地方海事领域的违法行为（共296项）”纳入，主要原因是交通运输部海事局已经制定了该领域的行政处罚裁量权基准，按照建立行政裁量权基准的有关精神和工作原则，上级已经制定完善的裁量权基准，下级直接适用，如有需要可细化量化。</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jNjYzE2ZTM2ODVmMTMwY2FmOGY2MTg2MjQyMDkifQ=="/>
  </w:docVars>
  <w:rsids>
    <w:rsidRoot w:val="00000000"/>
    <w:rsid w:val="02811DC3"/>
    <w:rsid w:val="0D604782"/>
    <w:rsid w:val="18FE26F7"/>
    <w:rsid w:val="5D4B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2023-10-06T05:10:00Z</dcterms:created>
  <dc:creator>yangr</dc:creator>
  <cp:lastModifiedBy>刘洋</cp:lastModifiedBy>
  <dcterms:modified xsi:type="dcterms:W3CDTF">2023-11-22T02:17:56Z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B7559D586A24484AAA3C27CD77409C79_12</vt:lpwstr>
  </property>
</Properties>
</file>